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charts/chart15.xml" ContentType="application/vnd.openxmlformats-officedocument.drawingml.chart+xml"/>
  <Override PartName="/word/charts/chart14.xml" ContentType="application/vnd.openxmlformats-officedocument.drawingml.chart+xml"/>
  <Override PartName="/word/charts/chart13.xml" ContentType="application/vnd.openxmlformats-officedocument.drawingml.chart+xml"/>
  <Override PartName="/word/charts/chart12.xml" ContentType="application/vnd.openxmlformats-officedocument.drawingml.chart+xml"/>
  <Override PartName="/word/charts/chart11.xml" ContentType="application/vnd.openxmlformats-officedocument.drawingml.chart+xml"/>
  <Override PartName="/word/charts/chart10.xml" ContentType="application/vnd.openxmlformats-officedocument.drawingml.chart+xml"/>
  <Override PartName="/word/charts/chart9.xml" ContentType="application/vnd.openxmlformats-officedocument.drawingml.chart+xml"/>
  <Override PartName="/word/charts/chart8.xml" ContentType="application/vnd.openxmlformats-officedocument.drawingml.chart+xml"/>
  <Override PartName="/word/charts/chart7.xml" ContentType="application/vnd.openxmlformats-officedocument.drawingml.chart+xml"/>
  <Override PartName="/word/charts/chart6.xml" ContentType="application/vnd.openxmlformats-officedocument.drawingml.chart+xml"/>
  <Override PartName="/word/charts/chart5.xml" ContentType="application/vnd.openxmlformats-officedocument.drawingml.chart+xml"/>
  <Override PartName="/word/charts/chart4.xml" ContentType="application/vnd.openxmlformats-officedocument.drawingml.chart+xml"/>
  <Override PartName="/word/charts/chart3.xml" ContentType="application/vnd.openxmlformats-officedocument.drawingml.chart+xml"/>
  <Override PartName="/word/charts/chart2.xml" ContentType="application/vnd.openxmlformats-officedocument.drawingml.chart+xml"/>
  <Override PartName="/word/charts/chart1.xml" ContentType="application/vnd.openxmlformats-officedocument.drawingml.chart+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pBdr>
          <w:top w:val="single" w:sz="4" w:space="1" w:color="00000A"/>
          <w:left w:val="single" w:sz="4" w:space="4" w:color="00000A"/>
          <w:bottom w:val="single" w:sz="4" w:space="1" w:color="00000A"/>
          <w:right w:val="single" w:sz="4" w:space="4" w:color="00000A"/>
        </w:pBdr>
        <w:jc w:val="center"/>
        <w:rPr>
          <w:rFonts w:cs="Arial" w:ascii="Arial" w:hAnsi="Arial"/>
        </w:rPr>
      </w:pPr>
      <w:bookmarkStart w:id="0" w:name="_GoBack"/>
      <w:bookmarkStart w:id="1" w:name="_GoBack"/>
      <w:bookmarkEnd w:id="1"/>
      <w:r>
        <w:rPr>
          <w:rFonts w:cs="Arial" w:ascii="Arial" w:hAnsi="Arial"/>
        </w:rPr>
      </w:r>
    </w:p>
    <w:p>
      <w:pPr>
        <w:pStyle w:val="Normal"/>
        <w:pBdr>
          <w:top w:val="single" w:sz="4" w:space="1" w:color="00000A"/>
          <w:left w:val="single" w:sz="4" w:space="4" w:color="00000A"/>
          <w:bottom w:val="single" w:sz="4" w:space="1" w:color="00000A"/>
          <w:right w:val="single" w:sz="4" w:space="4" w:color="00000A"/>
        </w:pBdr>
        <w:jc w:val="center"/>
        <w:rPr>
          <w:rFonts w:cs="Arial" w:ascii="Arial" w:hAnsi="Arial"/>
          <w:b/>
          <w:sz w:val="28"/>
          <w:szCs w:val="28"/>
        </w:rPr>
      </w:pPr>
      <w:r>
        <w:rPr>
          <w:rFonts w:cs="Arial" w:ascii="Arial" w:hAnsi="Arial"/>
          <w:b/>
          <w:sz w:val="28"/>
          <w:szCs w:val="28"/>
        </w:rPr>
        <w:t>Bilan des énergies 2015 – Comparaison Allemagne et France</w:t>
      </w:r>
    </w:p>
    <w:p>
      <w:pPr>
        <w:pStyle w:val="Normal"/>
        <w:pBdr>
          <w:top w:val="single" w:sz="4" w:space="1" w:color="00000A"/>
          <w:left w:val="single" w:sz="4" w:space="4" w:color="00000A"/>
          <w:bottom w:val="single" w:sz="4" w:space="1" w:color="00000A"/>
          <w:right w:val="single" w:sz="4" w:space="4" w:color="00000A"/>
        </w:pBdr>
        <w:jc w:val="center"/>
        <w:rPr>
          <w:rFonts w:cs="Arial" w:ascii="Arial" w:hAnsi="Arial"/>
        </w:rPr>
      </w:pPr>
      <w:r>
        <w:rPr>
          <w:rFonts w:cs="Arial" w:ascii="Arial" w:hAnsi="Arial"/>
        </w:rPr>
      </w:r>
    </w:p>
    <w:p>
      <w:pPr>
        <w:pStyle w:val="Normal"/>
        <w:rPr/>
      </w:pPr>
      <w:r>
        <w:rPr/>
      </w:r>
    </w:p>
    <w:p>
      <w:pPr>
        <w:pStyle w:val="Normal"/>
        <w:spacing w:beforeAutospacing="1" w:afterAutospacing="1"/>
        <w:jc w:val="both"/>
        <w:rPr>
          <w:rFonts w:cs="Arial" w:ascii="Arial" w:hAnsi="Arial"/>
        </w:rPr>
      </w:pPr>
      <w:r>
        <w:rPr>
          <w:rFonts w:cs="Arial" w:ascii="Arial" w:hAnsi="Arial"/>
        </w:rPr>
        <w:t>Depuis quelques années, en Allemagne l’« Energiewende » (littéralement : le virage énergétique) et en France la « transition énergétique » sont appliquées.</w:t>
      </w:r>
    </w:p>
    <w:p>
      <w:pPr>
        <w:pStyle w:val="Normal"/>
        <w:spacing w:beforeAutospacing="1" w:afterAutospacing="1"/>
        <w:jc w:val="both"/>
        <w:rPr>
          <w:rFonts w:cs="Arial" w:ascii="Arial" w:hAnsi="Arial"/>
        </w:rPr>
      </w:pPr>
      <w:r>
        <w:rPr>
          <w:rFonts w:cs="Arial" w:ascii="Arial" w:hAnsi="Arial"/>
        </w:rPr>
        <w:t xml:space="preserve">Pour faire le point de la situation, la fiche synthétique du bilan des énergies pour chacun de ces deux pays a été mise à jour pour l’année 2015 dont les données statistiques sont publiées et accessibles. </w:t>
      </w:r>
    </w:p>
    <w:p>
      <w:pPr>
        <w:pStyle w:val="Normal"/>
        <w:spacing w:beforeAutospacing="1" w:afterAutospacing="1"/>
        <w:jc w:val="both"/>
        <w:rPr>
          <w:rFonts w:cs="Arial" w:ascii="Arial" w:hAnsi="Arial"/>
        </w:rPr>
      </w:pPr>
      <w:r>
        <w:rPr>
          <w:rFonts w:cs="Arial" w:ascii="Arial" w:hAnsi="Arial"/>
        </w:rPr>
        <w:t>Ces fiches (annexe 1 pour l’Allemagne, annexe 2 pour la France) comprennent 4 tableaux :</w:t>
      </w:r>
    </w:p>
    <w:p>
      <w:pPr>
        <w:pStyle w:val="Normal"/>
        <w:numPr>
          <w:ilvl w:val="0"/>
          <w:numId w:val="3"/>
        </w:numPr>
        <w:spacing w:beforeAutospacing="1" w:afterAutospacing="1"/>
        <w:contextualSpacing/>
        <w:jc w:val="both"/>
        <w:rPr>
          <w:rFonts w:cs="Arial" w:ascii="Arial" w:hAnsi="Arial"/>
        </w:rPr>
      </w:pPr>
      <w:r>
        <w:rPr>
          <w:rFonts w:cs="Arial" w:ascii="Arial" w:hAnsi="Arial"/>
        </w:rPr>
        <w:t>1)- Un tableau des énergies primaires (c’est-à-dire des ressources naturelles brutes utilisées pour l’approvisionnement du pays en énergie),</w:t>
      </w:r>
    </w:p>
    <w:p>
      <w:pPr>
        <w:pStyle w:val="Normal"/>
        <w:numPr>
          <w:ilvl w:val="0"/>
          <w:numId w:val="3"/>
        </w:numPr>
        <w:spacing w:beforeAutospacing="1" w:afterAutospacing="1"/>
        <w:contextualSpacing/>
        <w:jc w:val="both"/>
        <w:rPr>
          <w:rFonts w:cs="Arial" w:ascii="Arial" w:hAnsi="Arial"/>
        </w:rPr>
      </w:pPr>
      <w:r>
        <w:rPr>
          <w:rFonts w:cs="Arial" w:ascii="Arial" w:hAnsi="Arial"/>
        </w:rPr>
        <w:t>2)- Un tableau donnant le détail des diverses énergies renouvelables indiquées globalement dans le tableau 1,</w:t>
      </w:r>
    </w:p>
    <w:p>
      <w:pPr>
        <w:pStyle w:val="Normal"/>
        <w:numPr>
          <w:ilvl w:val="0"/>
          <w:numId w:val="3"/>
        </w:numPr>
        <w:spacing w:beforeAutospacing="1" w:afterAutospacing="1"/>
        <w:contextualSpacing/>
        <w:jc w:val="both"/>
        <w:rPr>
          <w:rFonts w:cs="Arial" w:ascii="Arial" w:hAnsi="Arial"/>
        </w:rPr>
      </w:pPr>
      <w:r>
        <w:rPr>
          <w:rFonts w:cs="Arial" w:ascii="Arial" w:hAnsi="Arial"/>
        </w:rPr>
        <w:t>3)- un tableau des énergies finales</w:t>
      </w:r>
      <w:r>
        <w:rPr>
          <w:rStyle w:val="Ancredenotedebasdepage"/>
          <w:rFonts w:cs="Arial" w:ascii="Arial" w:hAnsi="Arial"/>
        </w:rPr>
        <w:footnoteReference w:id="2"/>
      </w:r>
      <w:r>
        <w:rPr>
          <w:rFonts w:cs="Arial" w:ascii="Arial" w:hAnsi="Arial"/>
        </w:rPr>
        <w:t xml:space="preserve"> (c’est-à-dire des énergies directement utilisées pour les diverses applications : industrie, transport, tertiaire, résidentiel,…),</w:t>
      </w:r>
    </w:p>
    <w:p>
      <w:pPr>
        <w:pStyle w:val="Normal"/>
        <w:numPr>
          <w:ilvl w:val="0"/>
          <w:numId w:val="3"/>
        </w:numPr>
        <w:spacing w:beforeAutospacing="1" w:afterAutospacing="1"/>
        <w:contextualSpacing/>
        <w:jc w:val="both"/>
        <w:rPr>
          <w:rFonts w:cs="Arial" w:ascii="Arial" w:hAnsi="Arial"/>
        </w:rPr>
      </w:pPr>
      <w:r>
        <w:rPr>
          <w:rFonts w:cs="Arial" w:ascii="Arial" w:hAnsi="Arial"/>
        </w:rPr>
        <w:t>4)- un tableau relatif à l’électricité, indiquant la répartition entre les différents moyens de production (en puissance installée [MW] et en production [TWh])</w:t>
      </w:r>
      <w:r>
        <w:rPr>
          <w:rStyle w:val="Ancredenotedebasdepage"/>
          <w:rFonts w:cs="Arial" w:ascii="Arial" w:hAnsi="Arial"/>
        </w:rPr>
        <w:footnoteReference w:id="3"/>
      </w:r>
      <w:r>
        <w:rPr>
          <w:rFonts w:cs="Arial" w:ascii="Arial" w:hAnsi="Arial"/>
        </w:rPr>
        <w:t>.</w:t>
      </w:r>
    </w:p>
    <w:p>
      <w:pPr>
        <w:pStyle w:val="Normal"/>
        <w:spacing w:beforeAutospacing="1" w:afterAutospacing="1"/>
        <w:jc w:val="both"/>
        <w:rPr>
          <w:rFonts w:cs="Arial" w:ascii="Arial" w:hAnsi="Arial"/>
        </w:rPr>
      </w:pPr>
      <w:r>
        <w:rPr>
          <w:rFonts w:cs="Arial" w:ascii="Arial" w:hAnsi="Arial"/>
        </w:rPr>
        <w:t>De la comparaison de ces deux fiches, ressortent notamment les points suivants :</w:t>
      </w:r>
    </w:p>
    <w:p>
      <w:pPr>
        <w:pStyle w:val="Normal"/>
        <w:spacing w:beforeAutospacing="1" w:afterAutospacing="1"/>
        <w:jc w:val="both"/>
        <w:rPr>
          <w:rFonts w:cs="Arial" w:ascii="Arial" w:hAnsi="Arial"/>
          <w:b/>
        </w:rPr>
      </w:pPr>
      <w:r>
        <w:rPr>
          <w:rFonts w:cs="Arial" w:ascii="Arial" w:hAnsi="Arial"/>
          <w:b/>
        </w:rPr>
        <w:t>1)- Energies primaires</w:t>
      </w:r>
    </w:p>
    <w:p>
      <w:pPr>
        <w:pStyle w:val="Normal"/>
        <w:spacing w:beforeAutospacing="1" w:afterAutospacing="1"/>
        <w:jc w:val="both"/>
        <w:rPr>
          <w:rFonts w:cs="Arial" w:ascii="Arial" w:hAnsi="Arial"/>
        </w:rPr>
      </w:pPr>
      <w:r>
        <w:rPr>
          <w:rFonts w:cs="Arial" w:ascii="Arial" w:hAnsi="Arial"/>
        </w:rPr>
        <w:t>Les énergies fossiles (charbon, pétrole et gaz) assurent environ 79,5% de l’approvisionnement en énergie primaire de l’Allemagne et 47,1% de celui de la France.</w:t>
      </w:r>
    </w:p>
    <w:p>
      <w:pPr>
        <w:pStyle w:val="Normal"/>
        <w:spacing w:beforeAutospacing="1" w:afterAutospacing="1"/>
        <w:jc w:val="both"/>
        <w:rPr>
          <w:rFonts w:cs="Arial" w:ascii="Arial" w:hAnsi="Arial"/>
        </w:rPr>
      </w:pPr>
      <w:r>
        <w:rPr>
          <w:rFonts w:cs="Arial" w:ascii="Arial" w:hAnsi="Arial"/>
        </w:rPr>
        <w:t>L’énergie nucléaire (uranium) fournit environ 7,5% de l’approvisionnement de l’Allemagne et 44,2% de celui de la France.</w:t>
      </w:r>
    </w:p>
    <w:p>
      <w:pPr>
        <w:pStyle w:val="Normal"/>
        <w:spacing w:beforeAutospacing="1" w:afterAutospacing="1"/>
        <w:jc w:val="both"/>
        <w:rPr>
          <w:rFonts w:cs="Arial" w:ascii="Arial" w:hAnsi="Arial"/>
        </w:rPr>
      </w:pPr>
      <w:r>
        <w:rPr>
          <w:rFonts w:cs="Arial" w:ascii="Arial" w:hAnsi="Arial"/>
        </w:rPr>
        <w:t>Les énergies renouvelables fournissent environ 12,5% de l’approvisionnement de l’Allemagne et 8,5% de celui de la France (2015 est une année de faible hydraulicité). A noter que :</w:t>
      </w:r>
    </w:p>
    <w:p>
      <w:pPr>
        <w:pStyle w:val="Normal"/>
        <w:spacing w:beforeAutospacing="1" w:afterAutospacing="1"/>
        <w:ind w:left="0" w:right="0" w:firstLine="708"/>
        <w:jc w:val="both"/>
        <w:rPr>
          <w:rFonts w:cs="Arial" w:ascii="Arial" w:hAnsi="Arial"/>
        </w:rPr>
      </w:pPr>
      <w:r>
        <w:rPr>
          <w:rFonts w:cs="Arial" w:ascii="Arial" w:hAnsi="Arial"/>
        </w:rPr>
        <w:t>- pour les deux pays, plus de la moitié provient du bois et de la « biomasse »,</w:t>
      </w:r>
    </w:p>
    <w:p>
      <w:pPr>
        <w:pStyle w:val="Normal"/>
        <w:spacing w:beforeAutospacing="1" w:afterAutospacing="1"/>
        <w:ind w:left="0" w:right="0" w:firstLine="708"/>
        <w:jc w:val="both"/>
        <w:rPr>
          <w:rFonts w:cs="Arial" w:ascii="Arial" w:hAnsi="Arial"/>
        </w:rPr>
      </w:pPr>
      <w:r>
        <w:rPr>
          <w:rFonts w:cs="Arial" w:ascii="Arial" w:hAnsi="Arial"/>
        </w:rPr>
        <w:t>- grâce à son potentiel hydroélectrique, la France compense son moindre développement des énergies éolienne et solaire.</w:t>
      </w:r>
    </w:p>
    <w:p>
      <w:pPr>
        <w:pStyle w:val="Normal"/>
        <w:spacing w:beforeAutospacing="1" w:afterAutospacing="1"/>
        <w:jc w:val="both"/>
        <w:rPr>
          <w:rFonts w:cs="Arial" w:ascii="Arial" w:hAnsi="Arial"/>
          <w:b/>
        </w:rPr>
      </w:pPr>
      <w:r>
        <w:rPr>
          <w:rFonts w:cs="Arial" w:ascii="Arial" w:hAnsi="Arial"/>
          <w:b/>
        </w:rPr>
        <w:t>2)- Energies finales utilisées</w:t>
      </w:r>
    </w:p>
    <w:p>
      <w:pPr>
        <w:pStyle w:val="Normal"/>
        <w:spacing w:beforeAutospacing="1" w:afterAutospacing="1"/>
        <w:jc w:val="both"/>
        <w:rPr>
          <w:rFonts w:cs="Arial" w:ascii="Arial" w:hAnsi="Arial"/>
        </w:rPr>
      </w:pPr>
      <w:r>
        <w:rPr>
          <w:rFonts w:cs="Arial" w:ascii="Arial" w:hAnsi="Arial"/>
        </w:rPr>
        <w:t>La part des énergies fossiles (charbon, pétrole et gaz) dans l’énergie finale utilisée est d’environ 66,4% pour l’Allemagne et 68% pour la France : cela représente bien la dépendance des deux pays vis-à-vis des hydrocarbures liquides et gazeux très majoritairement importés</w:t>
      </w:r>
      <w:r>
        <w:rPr>
          <w:rStyle w:val="Ancredenotedebasdepage"/>
          <w:rFonts w:cs="Arial" w:ascii="Arial" w:hAnsi="Arial"/>
        </w:rPr>
        <w:footnoteReference w:id="4"/>
      </w:r>
      <w:r>
        <w:rPr>
          <w:rFonts w:cs="Arial" w:ascii="Arial" w:hAnsi="Arial"/>
        </w:rPr>
        <w:t xml:space="preserve">. </w:t>
      </w:r>
    </w:p>
    <w:p>
      <w:pPr>
        <w:pStyle w:val="Normal"/>
        <w:spacing w:beforeAutospacing="1" w:afterAutospacing="1"/>
        <w:jc w:val="both"/>
        <w:rPr>
          <w:rFonts w:cs="Arial" w:ascii="Arial" w:hAnsi="Arial"/>
        </w:rPr>
      </w:pPr>
      <w:r>
        <w:rPr>
          <w:rFonts w:cs="Arial" w:ascii="Arial" w:hAnsi="Arial"/>
        </w:rPr>
        <w:t>Dans l’énergie finale utilisée, la part de l’électricité est de 21,1% en Allemagne et de 22,4% en France.</w:t>
      </w:r>
    </w:p>
    <w:p>
      <w:pPr>
        <w:pStyle w:val="Normal"/>
        <w:spacing w:beforeAutospacing="1" w:afterAutospacing="1"/>
        <w:jc w:val="both"/>
        <w:rPr>
          <w:rFonts w:cs="Arial" w:ascii="Arial" w:hAnsi="Arial"/>
        </w:rPr>
      </w:pPr>
      <w:r>
        <w:rPr>
          <w:rFonts w:cs="Arial" w:ascii="Arial" w:hAnsi="Arial"/>
        </w:rPr>
        <w:t>L’industrie utilise 29,0% de l’énergie finale en Allemagne, seulement 17,6% en France.</w:t>
      </w:r>
    </w:p>
    <w:p>
      <w:pPr>
        <w:pStyle w:val="Normal"/>
        <w:spacing w:beforeAutospacing="1" w:afterAutospacing="1"/>
        <w:jc w:val="both"/>
        <w:rPr>
          <w:rFonts w:cs="Arial" w:ascii="Arial" w:hAnsi="Arial"/>
          <w:b/>
        </w:rPr>
      </w:pPr>
      <w:r>
        <w:rPr>
          <w:rFonts w:cs="Arial" w:ascii="Arial" w:hAnsi="Arial"/>
          <w:b/>
        </w:rPr>
        <w:t>3)- Electricité</w:t>
      </w:r>
    </w:p>
    <w:p>
      <w:pPr>
        <w:pStyle w:val="Normal"/>
        <w:spacing w:beforeAutospacing="1" w:afterAutospacing="1"/>
        <w:jc w:val="both"/>
        <w:rPr>
          <w:rFonts w:cs="Arial" w:ascii="Arial" w:hAnsi="Arial"/>
        </w:rPr>
      </w:pPr>
      <w:r>
        <w:rPr>
          <w:rFonts w:cs="Arial" w:ascii="Arial" w:hAnsi="Arial"/>
        </w:rPr>
        <w:t>La comparaison Allemagne – France fait l’objet du tableau suivant</w:t>
      </w:r>
      <w:r>
        <w:rPr>
          <w:rStyle w:val="Ancredenotedebasdepage"/>
          <w:rFonts w:cs="Arial" w:ascii="Arial" w:hAnsi="Arial"/>
        </w:rPr>
        <w:footnoteReference w:id="5"/>
      </w:r>
      <w:r>
        <w:rPr>
          <w:rFonts w:cs="Arial" w:ascii="Arial" w:hAnsi="Arial"/>
        </w:rPr>
        <w:t> :</w:t>
      </w:r>
    </w:p>
    <w:tbl>
      <w:tblPr>
        <w:jc w:val="left"/>
        <w:tblInd w:w="55" w:type="dxa"/>
        <w:tblBorders>
          <w:top w:val="nil"/>
          <w:left w:val="nil"/>
          <w:bottom w:val="nil"/>
          <w:insideH w:val="nil"/>
          <w:right w:val="nil"/>
          <w:insideV w:val="nil"/>
        </w:tblBorders>
        <w:tblCellMar>
          <w:top w:w="0" w:type="dxa"/>
          <w:left w:w="70" w:type="dxa"/>
          <w:bottom w:w="0" w:type="dxa"/>
          <w:right w:w="70" w:type="dxa"/>
        </w:tblCellMar>
      </w:tblPr>
      <w:tblGrid>
        <w:gridCol w:w="1497"/>
        <w:gridCol w:w="934"/>
        <w:gridCol w:w="1304"/>
        <w:gridCol w:w="708"/>
        <w:gridCol w:w="1"/>
        <w:gridCol w:w="562"/>
        <w:gridCol w:w="1"/>
        <w:gridCol w:w="933"/>
        <w:gridCol w:w="842"/>
        <w:gridCol w:w="1"/>
        <w:gridCol w:w="683"/>
        <w:gridCol w:w="2"/>
        <w:gridCol w:w="811"/>
      </w:tblGrid>
      <w:tr>
        <w:trPr>
          <w:trHeight w:val="360" w:hRule="atLeast"/>
          <w:cantSplit w:val="false"/>
        </w:trPr>
        <w:tc>
          <w:tcPr>
            <w:tcW w:w="7468" w:type="dxa"/>
            <w:gridSpan w:val="12"/>
            <w:tcBorders>
              <w:top w:val="nil"/>
              <w:left w:val="nil"/>
              <w:bottom w:val="nil"/>
              <w:insideH w:val="nil"/>
              <w:right w:val="nil"/>
              <w:insideV w:val="nil"/>
            </w:tcBorders>
            <w:shd w:fill="FFFFFF" w:val="clear"/>
            <w:vAlign w:val="bottom"/>
          </w:tcPr>
          <w:p>
            <w:pPr>
              <w:pStyle w:val="Normal"/>
              <w:spacing w:lineRule="auto" w:line="240" w:beforeAutospacing="1" w:afterAutospacing="1"/>
              <w:rPr>
                <w:rFonts w:eastAsia="Times New Roman" w:cs="Arial" w:ascii="Arial" w:hAnsi="Arial"/>
                <w:color w:val="000000"/>
                <w:lang w:eastAsia="fr-FR"/>
              </w:rPr>
            </w:pPr>
            <w:r>
              <w:rPr>
                <w:rFonts w:eastAsia="Times New Roman" w:cs="Arial" w:ascii="Arial" w:hAnsi="Arial"/>
                <w:color w:val="000000"/>
                <w:lang w:eastAsia="fr-FR"/>
              </w:rPr>
              <w:t>Electricité : Puissance installée (MW) et production (TWh)</w:t>
            </w:r>
          </w:p>
        </w:tc>
        <w:tc>
          <w:tcPr>
            <w:tcW w:w="811" w:type="dxa"/>
            <w:tcBorders>
              <w:top w:val="nil"/>
              <w:left w:val="nil"/>
              <w:bottom w:val="nil"/>
              <w:insideH w:val="nil"/>
              <w:right w:val="nil"/>
              <w:insideV w:val="nil"/>
            </w:tcBorders>
            <w:shd w:fill="FFFFFF" w:val="clear"/>
            <w:vAlign w:val="bottom"/>
          </w:tcPr>
          <w:p>
            <w:pPr>
              <w:pStyle w:val="Normal"/>
              <w:spacing w:lineRule="auto" w:line="240" w:beforeAutospacing="1" w:afterAutospacing="1"/>
              <w:jc w:val="center"/>
              <w:rPr>
                <w:rFonts w:eastAsia="Times New Roman" w:cs="Times New Roman"/>
                <w:color w:val="000000"/>
                <w:lang w:eastAsia="fr-FR"/>
              </w:rPr>
            </w:pPr>
            <w:r>
              <w:rPr>
                <w:rFonts w:eastAsia="Times New Roman" w:cs="Times New Roman"/>
                <w:color w:val="000000"/>
                <w:lang w:eastAsia="fr-FR"/>
              </w:rPr>
            </w:r>
          </w:p>
        </w:tc>
      </w:tr>
      <w:tr>
        <w:trPr>
          <w:trHeight w:val="315" w:hRule="atLeast"/>
          <w:cantSplit w:val="false"/>
        </w:trPr>
        <w:tc>
          <w:tcPr>
            <w:tcW w:w="1497" w:type="dxa"/>
            <w:tcBorders>
              <w:top w:val="nil"/>
              <w:left w:val="nil"/>
              <w:bottom w:val="nil"/>
              <w:insideH w:val="nil"/>
              <w:right w:val="nil"/>
              <w:insideV w:val="nil"/>
            </w:tcBorders>
            <w:shd w:fill="FFFFFF" w:val="clear"/>
            <w:vAlign w:val="bottom"/>
          </w:tcPr>
          <w:p>
            <w:pPr>
              <w:pStyle w:val="Normal"/>
              <w:spacing w:lineRule="auto" w:line="240" w:beforeAutospacing="1" w:afterAutospacing="1"/>
              <w:rPr>
                <w:rFonts w:eastAsia="Times New Roman" w:cs="Times New Roman"/>
                <w:color w:val="000000"/>
                <w:lang w:eastAsia="fr-FR"/>
              </w:rPr>
            </w:pPr>
            <w:r>
              <w:rPr>
                <w:rFonts w:eastAsia="Times New Roman" w:cs="Times New Roman"/>
                <w:color w:val="000000"/>
                <w:lang w:eastAsia="fr-FR"/>
              </w:rPr>
            </w:r>
          </w:p>
        </w:tc>
        <w:tc>
          <w:tcPr>
            <w:tcW w:w="934" w:type="dxa"/>
            <w:tcBorders>
              <w:top w:val="nil"/>
              <w:left w:val="nil"/>
              <w:bottom w:val="nil"/>
              <w:insideH w:val="nil"/>
              <w:right w:val="nil"/>
              <w:insideV w:val="nil"/>
            </w:tcBorders>
            <w:shd w:fill="FFFFFF" w:val="clear"/>
            <w:vAlign w:val="bottom"/>
          </w:tcPr>
          <w:p>
            <w:pPr>
              <w:pStyle w:val="Normal"/>
              <w:spacing w:lineRule="auto" w:line="240" w:beforeAutospacing="1" w:afterAutospacing="1"/>
              <w:jc w:val="center"/>
              <w:rPr>
                <w:rFonts w:eastAsia="Times New Roman" w:cs="Times New Roman"/>
                <w:color w:val="000000"/>
                <w:lang w:eastAsia="fr-FR"/>
              </w:rPr>
            </w:pPr>
            <w:r>
              <w:rPr>
                <w:rFonts w:eastAsia="Times New Roman" w:cs="Times New Roman"/>
                <w:color w:val="000000"/>
                <w:lang w:eastAsia="fr-FR"/>
              </w:rPr>
            </w:r>
          </w:p>
        </w:tc>
        <w:tc>
          <w:tcPr>
            <w:tcW w:w="1304" w:type="dxa"/>
            <w:tcBorders>
              <w:top w:val="nil"/>
              <w:left w:val="nil"/>
              <w:bottom w:val="nil"/>
              <w:insideH w:val="nil"/>
              <w:right w:val="nil"/>
              <w:insideV w:val="nil"/>
            </w:tcBorders>
            <w:shd w:fill="FFFFFF" w:val="clear"/>
            <w:vAlign w:val="bottom"/>
          </w:tcPr>
          <w:p>
            <w:pPr>
              <w:pStyle w:val="Normal"/>
              <w:spacing w:lineRule="auto" w:line="240" w:beforeAutospacing="1" w:afterAutospacing="1"/>
              <w:jc w:val="center"/>
              <w:rPr>
                <w:rFonts w:eastAsia="Times New Roman" w:cs="Times New Roman"/>
                <w:color w:val="000000"/>
                <w:lang w:eastAsia="fr-FR"/>
              </w:rPr>
            </w:pPr>
            <w:r>
              <w:rPr>
                <w:rFonts w:eastAsia="Times New Roman" w:cs="Times New Roman"/>
                <w:color w:val="000000"/>
                <w:lang w:eastAsia="fr-FR"/>
              </w:rPr>
            </w:r>
          </w:p>
        </w:tc>
        <w:tc>
          <w:tcPr>
            <w:tcW w:w="708" w:type="dxa"/>
            <w:tcBorders>
              <w:top w:val="nil"/>
              <w:left w:val="nil"/>
              <w:bottom w:val="nil"/>
              <w:insideH w:val="nil"/>
              <w:right w:val="nil"/>
              <w:insideV w:val="nil"/>
            </w:tcBorders>
            <w:shd w:fill="FFFFFF" w:val="clear"/>
            <w:vAlign w:val="bottom"/>
          </w:tcPr>
          <w:p>
            <w:pPr>
              <w:pStyle w:val="Normal"/>
              <w:spacing w:lineRule="auto" w:line="240" w:beforeAutospacing="1" w:afterAutospacing="1"/>
              <w:jc w:val="center"/>
              <w:rPr>
                <w:rFonts w:eastAsia="Times New Roman" w:cs="Times New Roman"/>
                <w:color w:val="000000"/>
                <w:lang w:eastAsia="fr-FR"/>
              </w:rPr>
            </w:pPr>
            <w:r>
              <w:rPr>
                <w:rFonts w:eastAsia="Times New Roman" w:cs="Times New Roman"/>
                <w:color w:val="000000"/>
                <w:lang w:eastAsia="fr-FR"/>
              </w:rPr>
            </w:r>
          </w:p>
        </w:tc>
        <w:tc>
          <w:tcPr>
            <w:tcW w:w="563" w:type="dxa"/>
            <w:gridSpan w:val="2"/>
            <w:tcBorders>
              <w:top w:val="nil"/>
              <w:left w:val="nil"/>
              <w:bottom w:val="nil"/>
              <w:insideH w:val="nil"/>
              <w:right w:val="nil"/>
              <w:insideV w:val="nil"/>
            </w:tcBorders>
            <w:shd w:fill="FFFFFF" w:val="clear"/>
            <w:vAlign w:val="bottom"/>
          </w:tcPr>
          <w:p>
            <w:pPr>
              <w:pStyle w:val="Normal"/>
              <w:spacing w:lineRule="auto" w:line="240" w:beforeAutospacing="1" w:afterAutospacing="1"/>
              <w:jc w:val="center"/>
              <w:rPr>
                <w:rFonts w:eastAsia="Times New Roman" w:cs="Times New Roman"/>
                <w:color w:val="000000"/>
                <w:lang w:eastAsia="fr-FR"/>
              </w:rPr>
            </w:pPr>
            <w:r>
              <w:rPr>
                <w:rFonts w:eastAsia="Times New Roman" w:cs="Times New Roman"/>
                <w:color w:val="000000"/>
                <w:lang w:eastAsia="fr-FR"/>
              </w:rPr>
            </w:r>
          </w:p>
        </w:tc>
        <w:tc>
          <w:tcPr>
            <w:tcW w:w="934" w:type="dxa"/>
            <w:gridSpan w:val="2"/>
            <w:tcBorders>
              <w:top w:val="nil"/>
              <w:left w:val="nil"/>
              <w:bottom w:val="nil"/>
              <w:insideH w:val="nil"/>
              <w:right w:val="nil"/>
              <w:insideV w:val="nil"/>
            </w:tcBorders>
            <w:shd w:fill="FFFFFF" w:val="clear"/>
            <w:vAlign w:val="bottom"/>
          </w:tcPr>
          <w:p>
            <w:pPr>
              <w:pStyle w:val="Normal"/>
              <w:spacing w:lineRule="auto" w:line="240" w:beforeAutospacing="1" w:afterAutospacing="1"/>
              <w:jc w:val="center"/>
              <w:rPr>
                <w:rFonts w:eastAsia="Times New Roman" w:cs="Times New Roman"/>
                <w:color w:val="000000"/>
                <w:lang w:eastAsia="fr-FR"/>
              </w:rPr>
            </w:pPr>
            <w:r>
              <w:rPr>
                <w:rFonts w:eastAsia="Times New Roman" w:cs="Times New Roman"/>
                <w:color w:val="000000"/>
                <w:lang w:eastAsia="fr-FR"/>
              </w:rPr>
            </w:r>
          </w:p>
        </w:tc>
        <w:tc>
          <w:tcPr>
            <w:tcW w:w="842" w:type="dxa"/>
            <w:tcBorders>
              <w:top w:val="nil"/>
              <w:left w:val="nil"/>
              <w:bottom w:val="nil"/>
              <w:insideH w:val="nil"/>
              <w:right w:val="nil"/>
              <w:insideV w:val="nil"/>
            </w:tcBorders>
            <w:shd w:fill="FFFFFF" w:val="clear"/>
            <w:vAlign w:val="bottom"/>
          </w:tcPr>
          <w:p>
            <w:pPr>
              <w:pStyle w:val="Normal"/>
              <w:spacing w:lineRule="auto" w:line="240" w:beforeAutospacing="1" w:afterAutospacing="1"/>
              <w:jc w:val="center"/>
              <w:rPr>
                <w:rFonts w:eastAsia="Times New Roman" w:cs="Times New Roman"/>
                <w:color w:val="000000"/>
                <w:lang w:eastAsia="fr-FR"/>
              </w:rPr>
            </w:pPr>
            <w:r>
              <w:rPr>
                <w:rFonts w:eastAsia="Times New Roman" w:cs="Times New Roman"/>
                <w:color w:val="000000"/>
                <w:lang w:eastAsia="fr-FR"/>
              </w:rPr>
            </w:r>
          </w:p>
        </w:tc>
        <w:tc>
          <w:tcPr>
            <w:tcW w:w="684" w:type="dxa"/>
            <w:gridSpan w:val="2"/>
            <w:tcBorders>
              <w:top w:val="nil"/>
              <w:left w:val="nil"/>
              <w:bottom w:val="nil"/>
              <w:insideH w:val="nil"/>
              <w:right w:val="nil"/>
              <w:insideV w:val="nil"/>
            </w:tcBorders>
            <w:shd w:fill="FFFFFF" w:val="clear"/>
            <w:vAlign w:val="bottom"/>
          </w:tcPr>
          <w:p>
            <w:pPr>
              <w:pStyle w:val="Normal"/>
              <w:spacing w:lineRule="auto" w:line="240" w:beforeAutospacing="1" w:afterAutospacing="1"/>
              <w:jc w:val="center"/>
              <w:rPr>
                <w:rFonts w:eastAsia="Times New Roman" w:cs="Times New Roman"/>
                <w:color w:val="000000"/>
                <w:lang w:eastAsia="fr-FR"/>
              </w:rPr>
            </w:pPr>
            <w:r>
              <w:rPr>
                <w:rFonts w:eastAsia="Times New Roman" w:cs="Times New Roman"/>
                <w:color w:val="000000"/>
                <w:lang w:eastAsia="fr-FR"/>
              </w:rPr>
            </w:r>
          </w:p>
        </w:tc>
        <w:tc>
          <w:tcPr>
            <w:tcW w:w="813" w:type="dxa"/>
            <w:gridSpan w:val="2"/>
            <w:tcBorders>
              <w:top w:val="nil"/>
              <w:left w:val="nil"/>
              <w:bottom w:val="nil"/>
              <w:insideH w:val="nil"/>
              <w:right w:val="nil"/>
              <w:insideV w:val="nil"/>
            </w:tcBorders>
            <w:shd w:fill="FFFFFF" w:val="clear"/>
            <w:vAlign w:val="bottom"/>
          </w:tcPr>
          <w:p>
            <w:pPr>
              <w:pStyle w:val="Normal"/>
              <w:spacing w:lineRule="auto" w:line="240" w:beforeAutospacing="1" w:afterAutospacing="1"/>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1497" w:type="dxa"/>
            <w:tcBorders>
              <w:top w:val="single" w:sz="8" w:space="0" w:color="00000A"/>
              <w:left w:val="single" w:sz="8" w:space="0" w:color="00000A"/>
              <w:bottom w:val="nil"/>
              <w:insideH w:val="nil"/>
              <w:right w:val="single" w:sz="8" w:space="0" w:color="00000A"/>
              <w:insideV w:val="single" w:sz="8" w:space="0" w:color="00000A"/>
            </w:tcBorders>
            <w:shd w:fill="FFFFFF" w:val="clear"/>
            <w:tcMar>
              <w:left w:w="60" w:type="dxa"/>
            </w:tcMar>
            <w:vAlign w:val="bottom"/>
          </w:tcPr>
          <w:p>
            <w:pPr>
              <w:pStyle w:val="Normal"/>
              <w:spacing w:lineRule="auto" w:line="240" w:beforeAutospacing="1" w:afterAutospacing="1"/>
              <w:rPr>
                <w:rFonts w:eastAsia="Times New Roman" w:cs="Arial" w:ascii="Arial" w:hAnsi="Arial"/>
                <w:color w:val="000000"/>
                <w:lang w:eastAsia="fr-FR"/>
              </w:rPr>
            </w:pPr>
            <w:r>
              <w:rPr>
                <w:rFonts w:eastAsia="Times New Roman" w:cs="Arial" w:ascii="Arial" w:hAnsi="Arial"/>
                <w:color w:val="000000"/>
                <w:lang w:eastAsia="fr-FR"/>
              </w:rPr>
              <w:t>Energie</w:t>
            </w:r>
          </w:p>
        </w:tc>
        <w:tc>
          <w:tcPr>
            <w:tcW w:w="934" w:type="dxa"/>
            <w:tcBorders>
              <w:top w:val="single" w:sz="8" w:space="0" w:color="00000A"/>
              <w:left w:val="nil"/>
              <w:bottom w:val="nil"/>
              <w:insideH w:val="nil"/>
              <w:right w:val="nil"/>
              <w:insideV w:val="nil"/>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 </w:t>
            </w:r>
          </w:p>
        </w:tc>
        <w:tc>
          <w:tcPr>
            <w:tcW w:w="1304" w:type="dxa"/>
            <w:tcBorders>
              <w:top w:val="single" w:sz="8" w:space="0" w:color="00000A"/>
              <w:left w:val="nil"/>
              <w:bottom w:val="nil"/>
              <w:insideH w:val="nil"/>
              <w:right w:val="nil"/>
              <w:insideV w:val="nil"/>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Allemagne</w:t>
            </w:r>
          </w:p>
        </w:tc>
        <w:tc>
          <w:tcPr>
            <w:tcW w:w="708" w:type="dxa"/>
            <w:tcBorders>
              <w:top w:val="single" w:sz="8" w:space="0" w:color="00000A"/>
              <w:left w:val="nil"/>
              <w:bottom w:val="nil"/>
              <w:insideH w:val="nil"/>
              <w:right w:val="nil"/>
              <w:insideV w:val="nil"/>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 </w:t>
            </w:r>
          </w:p>
        </w:tc>
        <w:tc>
          <w:tcPr>
            <w:tcW w:w="563" w:type="dxa"/>
            <w:gridSpan w:val="2"/>
            <w:tcBorders>
              <w:top w:val="single" w:sz="8" w:space="0" w:color="00000A"/>
              <w:left w:val="nil"/>
              <w:bottom w:val="nil"/>
              <w:insideH w:val="nil"/>
              <w:right w:val="single" w:sz="8" w:space="0" w:color="00000A"/>
              <w:insideV w:val="single" w:sz="8" w:space="0" w:color="00000A"/>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 </w:t>
            </w:r>
          </w:p>
        </w:tc>
        <w:tc>
          <w:tcPr>
            <w:tcW w:w="934" w:type="dxa"/>
            <w:gridSpan w:val="2"/>
            <w:tcBorders>
              <w:top w:val="single" w:sz="8" w:space="0" w:color="00000A"/>
              <w:left w:val="nil"/>
              <w:bottom w:val="nil"/>
              <w:insideH w:val="nil"/>
              <w:right w:val="nil"/>
              <w:insideV w:val="nil"/>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 </w:t>
            </w:r>
          </w:p>
        </w:tc>
        <w:tc>
          <w:tcPr>
            <w:tcW w:w="842" w:type="dxa"/>
            <w:tcBorders>
              <w:top w:val="single" w:sz="8" w:space="0" w:color="00000A"/>
              <w:left w:val="nil"/>
              <w:bottom w:val="nil"/>
              <w:insideH w:val="nil"/>
              <w:right w:val="nil"/>
              <w:insideV w:val="nil"/>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France</w:t>
            </w:r>
          </w:p>
        </w:tc>
        <w:tc>
          <w:tcPr>
            <w:tcW w:w="684" w:type="dxa"/>
            <w:gridSpan w:val="2"/>
            <w:tcBorders>
              <w:top w:val="single" w:sz="8" w:space="0" w:color="00000A"/>
              <w:left w:val="nil"/>
              <w:bottom w:val="nil"/>
              <w:insideH w:val="nil"/>
              <w:right w:val="nil"/>
              <w:insideV w:val="nil"/>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 </w:t>
            </w:r>
          </w:p>
        </w:tc>
        <w:tc>
          <w:tcPr>
            <w:tcW w:w="813" w:type="dxa"/>
            <w:gridSpan w:val="2"/>
            <w:tcBorders>
              <w:top w:val="single" w:sz="8" w:space="0" w:color="00000A"/>
              <w:left w:val="nil"/>
              <w:bottom w:val="nil"/>
              <w:insideH w:val="nil"/>
              <w:right w:val="single" w:sz="8" w:space="0" w:color="00000A"/>
              <w:insideV w:val="single" w:sz="8" w:space="0" w:color="00000A"/>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 </w:t>
            </w:r>
          </w:p>
        </w:tc>
      </w:tr>
      <w:tr>
        <w:trPr>
          <w:trHeight w:val="315" w:hRule="atLeast"/>
          <w:cantSplit w:val="false"/>
        </w:trPr>
        <w:tc>
          <w:tcPr>
            <w:tcW w:w="1497" w:type="dxa"/>
            <w:tcBorders>
              <w:top w:val="nil"/>
              <w:left w:val="single" w:sz="8" w:space="0" w:color="00000A"/>
              <w:bottom w:val="single" w:sz="8" w:space="0" w:color="00000A"/>
              <w:insideH w:val="single" w:sz="8" w:space="0" w:color="00000A"/>
              <w:right w:val="nil"/>
              <w:insideV w:val="nil"/>
            </w:tcBorders>
            <w:shd w:fill="FFFFFF" w:val="clear"/>
            <w:tcMar>
              <w:left w:w="60" w:type="dxa"/>
            </w:tcMar>
            <w:vAlign w:val="bottom"/>
          </w:tcPr>
          <w:p>
            <w:pPr>
              <w:pStyle w:val="Normal"/>
              <w:spacing w:lineRule="auto" w:line="240" w:beforeAutospacing="1" w:afterAutospacing="1"/>
              <w:rPr>
                <w:rFonts w:eastAsia="Times New Roman" w:cs="Arial" w:ascii="Arial" w:hAnsi="Arial"/>
                <w:color w:val="000000"/>
                <w:lang w:eastAsia="fr-FR"/>
              </w:rPr>
            </w:pPr>
            <w:r>
              <w:rPr>
                <w:rFonts w:eastAsia="Times New Roman" w:cs="Arial" w:ascii="Arial" w:hAnsi="Arial"/>
                <w:color w:val="000000"/>
                <w:lang w:eastAsia="fr-FR"/>
              </w:rPr>
              <w:t> </w:t>
            </w:r>
          </w:p>
        </w:tc>
        <w:tc>
          <w:tcPr>
            <w:tcW w:w="934" w:type="dxa"/>
            <w:tcBorders>
              <w:top w:val="nil"/>
              <w:left w:val="single" w:sz="8" w:space="0" w:color="00000A"/>
              <w:bottom w:val="single" w:sz="8" w:space="0" w:color="00000A"/>
              <w:insideH w:val="single" w:sz="8" w:space="0" w:color="00000A"/>
              <w:right w:val="single" w:sz="4" w:space="0" w:color="00000A"/>
              <w:insideV w:val="single" w:sz="4" w:space="0" w:color="00000A"/>
            </w:tcBorders>
            <w:shd w:fill="FFFFFF" w:val="clear"/>
            <w:tcMar>
              <w:left w:w="60" w:type="dxa"/>
            </w:tcM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MW</w:t>
            </w:r>
          </w:p>
        </w:tc>
        <w:tc>
          <w:tcPr>
            <w:tcW w:w="1304" w:type="dxa"/>
            <w:tcBorders>
              <w:top w:val="nil"/>
              <w:left w:val="nil"/>
              <w:bottom w:val="single" w:sz="8" w:space="0" w:color="00000A"/>
              <w:insideH w:val="single" w:sz="8" w:space="0" w:color="00000A"/>
              <w:right w:val="nil"/>
              <w:insideV w:val="nil"/>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w:t>
            </w:r>
          </w:p>
        </w:tc>
        <w:tc>
          <w:tcPr>
            <w:tcW w:w="708" w:type="dxa"/>
            <w:tcBorders>
              <w:top w:val="nil"/>
              <w:left w:val="single" w:sz="8" w:space="0" w:color="00000A"/>
              <w:bottom w:val="nil"/>
              <w:insideH w:val="nil"/>
              <w:right w:val="single" w:sz="4" w:space="0" w:color="00000A"/>
              <w:insideV w:val="single" w:sz="4" w:space="0" w:color="00000A"/>
            </w:tcBorders>
            <w:shd w:fill="FFFFFF" w:val="clear"/>
            <w:tcMar>
              <w:left w:w="60" w:type="dxa"/>
            </w:tcM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TWh</w:t>
            </w:r>
          </w:p>
        </w:tc>
        <w:tc>
          <w:tcPr>
            <w:tcW w:w="563" w:type="dxa"/>
            <w:gridSpan w:val="2"/>
            <w:tcBorders>
              <w:top w:val="nil"/>
              <w:left w:val="nil"/>
              <w:bottom w:val="nil"/>
              <w:insideH w:val="nil"/>
              <w:right w:val="single" w:sz="8" w:space="0" w:color="00000A"/>
              <w:insideV w:val="single" w:sz="8" w:space="0" w:color="00000A"/>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w:t>
            </w:r>
          </w:p>
        </w:tc>
        <w:tc>
          <w:tcPr>
            <w:tcW w:w="934" w:type="dxa"/>
            <w:gridSpan w:val="2"/>
            <w:tcBorders>
              <w:top w:val="nil"/>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MW</w:t>
            </w:r>
          </w:p>
        </w:tc>
        <w:tc>
          <w:tcPr>
            <w:tcW w:w="842" w:type="dxa"/>
            <w:tcBorders>
              <w:top w:val="nil"/>
              <w:left w:val="nil"/>
              <w:bottom w:val="single" w:sz="8" w:space="0" w:color="00000A"/>
              <w:insideH w:val="single" w:sz="8" w:space="0" w:color="00000A"/>
              <w:right w:val="nil"/>
              <w:insideV w:val="nil"/>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w:t>
            </w:r>
          </w:p>
        </w:tc>
        <w:tc>
          <w:tcPr>
            <w:tcW w:w="684" w:type="dxa"/>
            <w:gridSpan w:val="2"/>
            <w:tcBorders>
              <w:top w:val="nil"/>
              <w:left w:val="single" w:sz="8" w:space="0" w:color="00000A"/>
              <w:bottom w:val="single" w:sz="8" w:space="0" w:color="00000A"/>
              <w:insideH w:val="single" w:sz="8" w:space="0" w:color="00000A"/>
              <w:right w:val="single" w:sz="4" w:space="0" w:color="00000A"/>
              <w:insideV w:val="single" w:sz="4" w:space="0" w:color="00000A"/>
            </w:tcBorders>
            <w:shd w:fill="FFFFFF" w:val="clear"/>
            <w:tcMar>
              <w:left w:w="60" w:type="dxa"/>
            </w:tcM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TWh</w:t>
            </w:r>
          </w:p>
        </w:tc>
        <w:tc>
          <w:tcPr>
            <w:tcW w:w="813" w:type="dxa"/>
            <w:gridSpan w:val="2"/>
            <w:tcBorders>
              <w:top w:val="nil"/>
              <w:left w:val="nil"/>
              <w:bottom w:val="single" w:sz="8" w:space="0" w:color="00000A"/>
              <w:insideH w:val="single" w:sz="8" w:space="0" w:color="00000A"/>
              <w:right w:val="single" w:sz="8" w:space="0" w:color="00000A"/>
              <w:insideV w:val="single" w:sz="8" w:space="0" w:color="00000A"/>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w:t>
            </w:r>
          </w:p>
        </w:tc>
      </w:tr>
      <w:tr>
        <w:trPr>
          <w:trHeight w:val="300" w:hRule="atLeast"/>
          <w:cantSplit w:val="false"/>
        </w:trPr>
        <w:tc>
          <w:tcPr>
            <w:tcW w:w="1497" w:type="dxa"/>
            <w:tcBorders>
              <w:top w:val="nil"/>
              <w:left w:val="single" w:sz="8" w:space="0" w:color="00000A"/>
              <w:bottom w:val="single" w:sz="4" w:space="0" w:color="00000A"/>
              <w:insideH w:val="single" w:sz="4" w:space="0" w:color="00000A"/>
              <w:right w:val="single" w:sz="8" w:space="0" w:color="00000A"/>
              <w:insideV w:val="single" w:sz="8" w:space="0" w:color="00000A"/>
            </w:tcBorders>
            <w:shd w:fill="FFFFFF" w:val="clear"/>
            <w:tcMar>
              <w:left w:w="60" w:type="dxa"/>
            </w:tcMar>
            <w:vAlign w:val="bottom"/>
          </w:tcPr>
          <w:p>
            <w:pPr>
              <w:pStyle w:val="Normal"/>
              <w:spacing w:lineRule="auto" w:line="240" w:beforeAutospacing="1" w:afterAutospacing="1"/>
              <w:rPr>
                <w:rFonts w:eastAsia="Times New Roman" w:cs="Arial" w:ascii="Arial" w:hAnsi="Arial"/>
                <w:color w:val="000000"/>
                <w:lang w:eastAsia="fr-FR"/>
              </w:rPr>
            </w:pPr>
            <w:r>
              <w:rPr>
                <w:rFonts w:eastAsia="Times New Roman" w:cs="Arial" w:ascii="Arial" w:hAnsi="Arial"/>
                <w:color w:val="000000"/>
                <w:lang w:eastAsia="fr-FR"/>
              </w:rPr>
              <w:t xml:space="preserve">Fossiles </w:t>
            </w:r>
          </w:p>
        </w:tc>
        <w:tc>
          <w:tcPr>
            <w:tcW w:w="934"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81000</w:t>
            </w:r>
          </w:p>
        </w:tc>
        <w:tc>
          <w:tcPr>
            <w:tcW w:w="1304" w:type="dxa"/>
            <w:tcBorders>
              <w:top w:val="nil"/>
              <w:left w:val="nil"/>
              <w:bottom w:val="single" w:sz="4" w:space="0" w:color="00000A"/>
              <w:insideH w:val="single" w:sz="4" w:space="0" w:color="00000A"/>
              <w:right w:val="nil"/>
              <w:insideV w:val="nil"/>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41,62</w:t>
            </w:r>
          </w:p>
        </w:tc>
        <w:tc>
          <w:tcPr>
            <w:tcW w:w="708" w:type="dxa"/>
            <w:tcBorders>
              <w:top w:val="single" w:sz="8" w:space="0" w:color="00000A"/>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338,0</w:t>
            </w:r>
          </w:p>
        </w:tc>
        <w:tc>
          <w:tcPr>
            <w:tcW w:w="563" w:type="dxa"/>
            <w:gridSpan w:val="2"/>
            <w:tcBorders>
              <w:top w:val="single" w:sz="8" w:space="0" w:color="00000A"/>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54,7</w:t>
            </w:r>
          </w:p>
        </w:tc>
        <w:tc>
          <w:tcPr>
            <w:tcW w:w="9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22500</w:t>
            </w:r>
          </w:p>
        </w:tc>
        <w:tc>
          <w:tcPr>
            <w:tcW w:w="842" w:type="dxa"/>
            <w:tcBorders>
              <w:top w:val="nil"/>
              <w:left w:val="nil"/>
              <w:bottom w:val="single" w:sz="4" w:space="0" w:color="00000A"/>
              <w:insideH w:val="single" w:sz="4" w:space="0" w:color="00000A"/>
              <w:right w:val="nil"/>
              <w:insideV w:val="nil"/>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17,41</w:t>
            </w:r>
          </w:p>
        </w:tc>
        <w:tc>
          <w:tcPr>
            <w:tcW w:w="684" w:type="dxa"/>
            <w:gridSpan w:val="2"/>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34,1</w:t>
            </w:r>
          </w:p>
        </w:tc>
        <w:tc>
          <w:tcPr>
            <w:tcW w:w="813" w:type="dxa"/>
            <w:gridSpan w:val="2"/>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6,2</w:t>
            </w:r>
          </w:p>
        </w:tc>
      </w:tr>
      <w:tr>
        <w:trPr>
          <w:trHeight w:val="300" w:hRule="atLeast"/>
          <w:cantSplit w:val="false"/>
        </w:trPr>
        <w:tc>
          <w:tcPr>
            <w:tcW w:w="1497" w:type="dxa"/>
            <w:tcBorders>
              <w:top w:val="nil"/>
              <w:left w:val="single" w:sz="8" w:space="0" w:color="00000A"/>
              <w:bottom w:val="single" w:sz="4" w:space="0" w:color="00000A"/>
              <w:insideH w:val="single" w:sz="4" w:space="0" w:color="00000A"/>
              <w:right w:val="single" w:sz="8" w:space="0" w:color="00000A"/>
              <w:insideV w:val="single" w:sz="8" w:space="0" w:color="00000A"/>
            </w:tcBorders>
            <w:shd w:fill="FFFFFF" w:val="clear"/>
            <w:tcMar>
              <w:left w:w="60" w:type="dxa"/>
            </w:tcMar>
            <w:vAlign w:val="bottom"/>
          </w:tcPr>
          <w:p>
            <w:pPr>
              <w:pStyle w:val="Normal"/>
              <w:spacing w:lineRule="auto" w:line="240" w:beforeAutospacing="1" w:afterAutospacing="1"/>
              <w:rPr>
                <w:rFonts w:eastAsia="Times New Roman" w:cs="Arial" w:ascii="Arial" w:hAnsi="Arial"/>
                <w:color w:val="000000"/>
                <w:lang w:eastAsia="fr-FR"/>
              </w:rPr>
            </w:pPr>
            <w:r>
              <w:rPr>
                <w:rFonts w:eastAsia="Times New Roman" w:cs="Arial" w:ascii="Arial" w:hAnsi="Arial"/>
                <w:color w:val="000000"/>
                <w:lang w:eastAsia="fr-FR"/>
              </w:rPr>
              <w:t>Nucléaire</w:t>
            </w:r>
          </w:p>
        </w:tc>
        <w:tc>
          <w:tcPr>
            <w:tcW w:w="934"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10800</w:t>
            </w:r>
          </w:p>
        </w:tc>
        <w:tc>
          <w:tcPr>
            <w:tcW w:w="1304" w:type="dxa"/>
            <w:tcBorders>
              <w:top w:val="nil"/>
              <w:left w:val="nil"/>
              <w:bottom w:val="single" w:sz="4" w:space="0" w:color="00000A"/>
              <w:insideH w:val="single" w:sz="4" w:space="0" w:color="00000A"/>
              <w:right w:val="nil"/>
              <w:insideV w:val="nil"/>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5,41</w:t>
            </w:r>
          </w:p>
        </w:tc>
        <w:tc>
          <w:tcPr>
            <w:tcW w:w="708"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91,8</w:t>
            </w:r>
          </w:p>
        </w:tc>
        <w:tc>
          <w:tcPr>
            <w:tcW w:w="563" w:type="dxa"/>
            <w:gridSpan w:val="2"/>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14,8</w:t>
            </w:r>
          </w:p>
        </w:tc>
        <w:tc>
          <w:tcPr>
            <w:tcW w:w="9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63100</w:t>
            </w:r>
          </w:p>
        </w:tc>
        <w:tc>
          <w:tcPr>
            <w:tcW w:w="842" w:type="dxa"/>
            <w:tcBorders>
              <w:top w:val="nil"/>
              <w:left w:val="nil"/>
              <w:bottom w:val="single" w:sz="4" w:space="0" w:color="00000A"/>
              <w:insideH w:val="single" w:sz="4" w:space="0" w:color="00000A"/>
              <w:right w:val="nil"/>
              <w:insideV w:val="nil"/>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48,83</w:t>
            </w:r>
          </w:p>
        </w:tc>
        <w:tc>
          <w:tcPr>
            <w:tcW w:w="684" w:type="dxa"/>
            <w:gridSpan w:val="2"/>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416,8</w:t>
            </w:r>
          </w:p>
        </w:tc>
        <w:tc>
          <w:tcPr>
            <w:tcW w:w="813" w:type="dxa"/>
            <w:gridSpan w:val="2"/>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76,3</w:t>
            </w:r>
          </w:p>
        </w:tc>
      </w:tr>
      <w:tr>
        <w:trPr>
          <w:trHeight w:val="300" w:hRule="atLeast"/>
          <w:cantSplit w:val="false"/>
        </w:trPr>
        <w:tc>
          <w:tcPr>
            <w:tcW w:w="1497" w:type="dxa"/>
            <w:tcBorders>
              <w:top w:val="nil"/>
              <w:left w:val="single" w:sz="8" w:space="0" w:color="00000A"/>
              <w:bottom w:val="single" w:sz="4" w:space="0" w:color="00000A"/>
              <w:insideH w:val="single" w:sz="4" w:space="0" w:color="00000A"/>
              <w:right w:val="single" w:sz="8" w:space="0" w:color="00000A"/>
              <w:insideV w:val="single" w:sz="8" w:space="0" w:color="00000A"/>
            </w:tcBorders>
            <w:shd w:fill="FFFFFF" w:val="clear"/>
            <w:tcMar>
              <w:left w:w="60" w:type="dxa"/>
            </w:tcMar>
            <w:vAlign w:val="bottom"/>
          </w:tcPr>
          <w:p>
            <w:pPr>
              <w:pStyle w:val="Normal"/>
              <w:spacing w:lineRule="auto" w:line="240" w:beforeAutospacing="1" w:afterAutospacing="1"/>
              <w:rPr>
                <w:rFonts w:eastAsia="Times New Roman" w:cs="Arial" w:ascii="Arial" w:hAnsi="Arial"/>
                <w:color w:val="000000"/>
                <w:lang w:eastAsia="fr-FR"/>
              </w:rPr>
            </w:pPr>
            <w:r>
              <w:rPr>
                <w:rFonts w:eastAsia="Times New Roman" w:cs="Arial" w:ascii="Arial" w:hAnsi="Arial"/>
                <w:color w:val="000000"/>
                <w:lang w:eastAsia="fr-FR"/>
              </w:rPr>
              <w:t>Hydraulique</w:t>
            </w:r>
          </w:p>
        </w:tc>
        <w:tc>
          <w:tcPr>
            <w:tcW w:w="934"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14700</w:t>
            </w:r>
          </w:p>
        </w:tc>
        <w:tc>
          <w:tcPr>
            <w:tcW w:w="1304" w:type="dxa"/>
            <w:tcBorders>
              <w:top w:val="nil"/>
              <w:left w:val="nil"/>
              <w:bottom w:val="single" w:sz="4" w:space="0" w:color="00000A"/>
              <w:insideH w:val="single" w:sz="4" w:space="0" w:color="00000A"/>
              <w:right w:val="nil"/>
              <w:insideV w:val="nil"/>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7,37</w:t>
            </w:r>
          </w:p>
        </w:tc>
        <w:tc>
          <w:tcPr>
            <w:tcW w:w="708"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19,4</w:t>
            </w:r>
          </w:p>
        </w:tc>
        <w:tc>
          <w:tcPr>
            <w:tcW w:w="563" w:type="dxa"/>
            <w:gridSpan w:val="2"/>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3,1</w:t>
            </w:r>
          </w:p>
        </w:tc>
        <w:tc>
          <w:tcPr>
            <w:tcW w:w="9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25400</w:t>
            </w:r>
          </w:p>
        </w:tc>
        <w:tc>
          <w:tcPr>
            <w:tcW w:w="842" w:type="dxa"/>
            <w:tcBorders>
              <w:top w:val="nil"/>
              <w:left w:val="nil"/>
              <w:bottom w:val="single" w:sz="4" w:space="0" w:color="00000A"/>
              <w:insideH w:val="single" w:sz="4" w:space="0" w:color="00000A"/>
              <w:right w:val="nil"/>
              <w:insideV w:val="nil"/>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19,65</w:t>
            </w:r>
          </w:p>
        </w:tc>
        <w:tc>
          <w:tcPr>
            <w:tcW w:w="684" w:type="dxa"/>
            <w:gridSpan w:val="2"/>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58,7</w:t>
            </w:r>
          </w:p>
        </w:tc>
        <w:tc>
          <w:tcPr>
            <w:tcW w:w="813" w:type="dxa"/>
            <w:gridSpan w:val="2"/>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10,8</w:t>
            </w:r>
          </w:p>
        </w:tc>
      </w:tr>
      <w:tr>
        <w:trPr>
          <w:trHeight w:val="315" w:hRule="atLeast"/>
          <w:cantSplit w:val="false"/>
        </w:trPr>
        <w:tc>
          <w:tcPr>
            <w:tcW w:w="1497" w:type="dxa"/>
            <w:tcBorders>
              <w:top w:val="nil"/>
              <w:left w:val="single" w:sz="8" w:space="0" w:color="00000A"/>
              <w:bottom w:val="single" w:sz="8" w:space="0" w:color="00000A"/>
              <w:insideH w:val="single" w:sz="8" w:space="0" w:color="00000A"/>
              <w:right w:val="single" w:sz="8" w:space="0" w:color="00000A"/>
              <w:insideV w:val="single" w:sz="8" w:space="0" w:color="00000A"/>
            </w:tcBorders>
            <w:shd w:fill="FFFFFF" w:val="clear"/>
            <w:tcMar>
              <w:left w:w="60" w:type="dxa"/>
            </w:tcMar>
            <w:vAlign w:val="bottom"/>
          </w:tcPr>
          <w:p>
            <w:pPr>
              <w:pStyle w:val="Normal"/>
              <w:spacing w:lineRule="auto" w:line="240" w:beforeAutospacing="1" w:afterAutospacing="1"/>
              <w:rPr>
                <w:rFonts w:eastAsia="Times New Roman" w:cs="Arial" w:ascii="Arial" w:hAnsi="Arial"/>
                <w:color w:val="000000"/>
                <w:lang w:eastAsia="fr-FR"/>
              </w:rPr>
            </w:pPr>
            <w:r>
              <w:rPr>
                <w:rFonts w:eastAsia="Times New Roman" w:cs="Arial" w:ascii="Arial" w:hAnsi="Arial"/>
                <w:color w:val="000000"/>
                <w:lang w:eastAsia="fr-FR"/>
              </w:rPr>
              <w:t>ENR</w:t>
            </w:r>
          </w:p>
        </w:tc>
        <w:tc>
          <w:tcPr>
            <w:tcW w:w="934" w:type="dxa"/>
            <w:tcBorders>
              <w:top w:val="nil"/>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92900</w:t>
            </w:r>
          </w:p>
        </w:tc>
        <w:tc>
          <w:tcPr>
            <w:tcW w:w="1304" w:type="dxa"/>
            <w:tcBorders>
              <w:top w:val="nil"/>
              <w:left w:val="nil"/>
              <w:bottom w:val="single" w:sz="8" w:space="0" w:color="00000A"/>
              <w:insideH w:val="single" w:sz="8" w:space="0" w:color="00000A"/>
              <w:right w:val="nil"/>
              <w:insideV w:val="nil"/>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46,58</w:t>
            </w:r>
          </w:p>
        </w:tc>
        <w:tc>
          <w:tcPr>
            <w:tcW w:w="708" w:type="dxa"/>
            <w:tcBorders>
              <w:top w:val="nil"/>
              <w:left w:val="single" w:sz="8" w:space="0" w:color="00000A"/>
              <w:bottom w:val="single" w:sz="8" w:space="0" w:color="00000A"/>
              <w:insideH w:val="single" w:sz="8" w:space="0" w:color="00000A"/>
              <w:right w:val="single" w:sz="4" w:space="0" w:color="00000A"/>
              <w:insideV w:val="single" w:sz="4" w:space="0" w:color="00000A"/>
            </w:tcBorders>
            <w:shd w:fill="FFFFFF" w:val="clear"/>
            <w:tcMar>
              <w:left w:w="60" w:type="dxa"/>
            </w:tcM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169,2</w:t>
            </w:r>
          </w:p>
        </w:tc>
        <w:tc>
          <w:tcPr>
            <w:tcW w:w="563" w:type="dxa"/>
            <w:gridSpan w:val="2"/>
            <w:tcBorders>
              <w:top w:val="nil"/>
              <w:left w:val="nil"/>
              <w:bottom w:val="single" w:sz="8" w:space="0" w:color="00000A"/>
              <w:insideH w:val="single" w:sz="8" w:space="0" w:color="00000A"/>
              <w:right w:val="single" w:sz="8" w:space="0" w:color="00000A"/>
              <w:insideV w:val="single" w:sz="8" w:space="0" w:color="00000A"/>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27,4</w:t>
            </w:r>
          </w:p>
        </w:tc>
        <w:tc>
          <w:tcPr>
            <w:tcW w:w="934" w:type="dxa"/>
            <w:gridSpan w:val="2"/>
            <w:tcBorders>
              <w:top w:val="nil"/>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18200</w:t>
            </w:r>
          </w:p>
        </w:tc>
        <w:tc>
          <w:tcPr>
            <w:tcW w:w="842" w:type="dxa"/>
            <w:tcBorders>
              <w:top w:val="nil"/>
              <w:left w:val="nil"/>
              <w:bottom w:val="single" w:sz="8" w:space="0" w:color="00000A"/>
              <w:insideH w:val="single" w:sz="8" w:space="0" w:color="00000A"/>
              <w:right w:val="nil"/>
              <w:insideV w:val="nil"/>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14,08</w:t>
            </w:r>
          </w:p>
        </w:tc>
        <w:tc>
          <w:tcPr>
            <w:tcW w:w="684" w:type="dxa"/>
            <w:gridSpan w:val="2"/>
            <w:tcBorders>
              <w:top w:val="nil"/>
              <w:left w:val="single" w:sz="8" w:space="0" w:color="00000A"/>
              <w:bottom w:val="single" w:sz="8" w:space="0" w:color="00000A"/>
              <w:insideH w:val="single" w:sz="8" w:space="0" w:color="00000A"/>
              <w:right w:val="single" w:sz="4" w:space="0" w:color="00000A"/>
              <w:insideV w:val="single" w:sz="4" w:space="0" w:color="00000A"/>
            </w:tcBorders>
            <w:shd w:fill="FFFFFF" w:val="clear"/>
            <w:tcMar>
              <w:left w:w="60" w:type="dxa"/>
            </w:tcM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36,4</w:t>
            </w:r>
          </w:p>
        </w:tc>
        <w:tc>
          <w:tcPr>
            <w:tcW w:w="813" w:type="dxa"/>
            <w:gridSpan w:val="2"/>
            <w:tcBorders>
              <w:top w:val="nil"/>
              <w:left w:val="nil"/>
              <w:bottom w:val="single" w:sz="8" w:space="0" w:color="00000A"/>
              <w:insideH w:val="single" w:sz="8" w:space="0" w:color="00000A"/>
              <w:right w:val="single" w:sz="8" w:space="0" w:color="00000A"/>
              <w:insideV w:val="single" w:sz="8" w:space="0" w:color="00000A"/>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6,7</w:t>
            </w:r>
          </w:p>
        </w:tc>
      </w:tr>
      <w:tr>
        <w:trPr>
          <w:trHeight w:val="315" w:hRule="atLeast"/>
          <w:cantSplit w:val="false"/>
        </w:trPr>
        <w:tc>
          <w:tcPr>
            <w:tcW w:w="1497" w:type="dxa"/>
            <w:tcBorders>
              <w:top w:val="nil"/>
              <w:left w:val="single" w:sz="8" w:space="0" w:color="00000A"/>
              <w:bottom w:val="single" w:sz="8" w:space="0" w:color="00000A"/>
              <w:insideH w:val="single" w:sz="8" w:space="0" w:color="00000A"/>
              <w:right w:val="nil"/>
              <w:insideV w:val="nil"/>
            </w:tcBorders>
            <w:shd w:fill="FFFFFF" w:val="clear"/>
            <w:tcMar>
              <w:left w:w="60" w:type="dxa"/>
            </w:tcMar>
            <w:vAlign w:val="bottom"/>
          </w:tcPr>
          <w:p>
            <w:pPr>
              <w:pStyle w:val="Normal"/>
              <w:spacing w:lineRule="auto" w:line="240" w:beforeAutospacing="1" w:afterAutospacing="1"/>
              <w:rPr>
                <w:rFonts w:eastAsia="Times New Roman" w:cs="Arial" w:ascii="Arial" w:hAnsi="Arial"/>
                <w:color w:val="000000"/>
                <w:lang w:eastAsia="fr-FR"/>
              </w:rPr>
            </w:pPr>
            <w:r>
              <w:rPr>
                <w:rFonts w:eastAsia="Times New Roman" w:cs="Arial" w:ascii="Arial" w:hAnsi="Arial"/>
                <w:color w:val="000000"/>
                <w:lang w:eastAsia="fr-FR"/>
              </w:rPr>
              <w:t>Total</w:t>
            </w:r>
          </w:p>
        </w:tc>
        <w:tc>
          <w:tcPr>
            <w:tcW w:w="934" w:type="dxa"/>
            <w:tcBorders>
              <w:top w:val="nil"/>
              <w:left w:val="single" w:sz="8" w:space="0" w:color="00000A"/>
              <w:bottom w:val="single" w:sz="8" w:space="0" w:color="00000A"/>
              <w:insideH w:val="single" w:sz="8" w:space="0" w:color="00000A"/>
              <w:right w:val="single" w:sz="4" w:space="0" w:color="00000A"/>
              <w:insideV w:val="single" w:sz="4" w:space="0" w:color="00000A"/>
            </w:tcBorders>
            <w:shd w:fill="FFFFFF" w:val="clear"/>
            <w:tcMar>
              <w:left w:w="60" w:type="dxa"/>
            </w:tcM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199400</w:t>
            </w:r>
          </w:p>
        </w:tc>
        <w:tc>
          <w:tcPr>
            <w:tcW w:w="1304" w:type="dxa"/>
            <w:tcBorders>
              <w:top w:val="nil"/>
              <w:left w:val="nil"/>
              <w:bottom w:val="single" w:sz="8" w:space="0" w:color="00000A"/>
              <w:insideH w:val="single" w:sz="8" w:space="0" w:color="00000A"/>
              <w:right w:val="nil"/>
              <w:insideV w:val="nil"/>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100</w:t>
            </w:r>
          </w:p>
        </w:tc>
        <w:tc>
          <w:tcPr>
            <w:tcW w:w="708" w:type="dxa"/>
            <w:tcBorders>
              <w:top w:val="nil"/>
              <w:left w:val="single" w:sz="8" w:space="0" w:color="00000A"/>
              <w:bottom w:val="single" w:sz="8" w:space="0" w:color="00000A"/>
              <w:insideH w:val="single" w:sz="8" w:space="0" w:color="00000A"/>
              <w:right w:val="single" w:sz="4" w:space="0" w:color="00000A"/>
              <w:insideV w:val="single" w:sz="4" w:space="0" w:color="00000A"/>
            </w:tcBorders>
            <w:shd w:fill="FFFFFF" w:val="clear"/>
            <w:tcMar>
              <w:left w:w="60" w:type="dxa"/>
            </w:tcMar>
            <w:vAlign w:val="bottom"/>
          </w:tcPr>
          <w:p>
            <w:pPr>
              <w:pStyle w:val="Normal"/>
              <w:spacing w:lineRule="auto" w:line="240" w:beforeAutospacing="1" w:afterAutospacing="1"/>
              <w:rPr>
                <w:rFonts w:eastAsia="Times New Roman" w:cs="Arial" w:ascii="Arial" w:hAnsi="Arial"/>
                <w:color w:val="000000"/>
                <w:lang w:eastAsia="fr-FR"/>
              </w:rPr>
            </w:pPr>
            <w:r>
              <w:rPr>
                <w:rFonts w:eastAsia="Times New Roman" w:cs="Arial" w:ascii="Arial" w:hAnsi="Arial"/>
                <w:color w:val="000000"/>
                <w:lang w:eastAsia="fr-FR"/>
              </w:rPr>
              <w:t>617,4</w:t>
            </w:r>
          </w:p>
        </w:tc>
        <w:tc>
          <w:tcPr>
            <w:tcW w:w="563" w:type="dxa"/>
            <w:gridSpan w:val="2"/>
            <w:tcBorders>
              <w:top w:val="nil"/>
              <w:left w:val="nil"/>
              <w:bottom w:val="single" w:sz="8" w:space="0" w:color="00000A"/>
              <w:insideH w:val="single" w:sz="8" w:space="0" w:color="00000A"/>
              <w:right w:val="single" w:sz="8" w:space="0" w:color="00000A"/>
              <w:insideV w:val="single" w:sz="8" w:space="0" w:color="00000A"/>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100</w:t>
            </w:r>
          </w:p>
        </w:tc>
        <w:tc>
          <w:tcPr>
            <w:tcW w:w="934" w:type="dxa"/>
            <w:gridSpan w:val="2"/>
            <w:tcBorders>
              <w:top w:val="nil"/>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129200</w:t>
            </w:r>
          </w:p>
        </w:tc>
        <w:tc>
          <w:tcPr>
            <w:tcW w:w="842" w:type="dxa"/>
            <w:tcBorders>
              <w:top w:val="nil"/>
              <w:left w:val="nil"/>
              <w:bottom w:val="single" w:sz="8" w:space="0" w:color="00000A"/>
              <w:insideH w:val="single" w:sz="8" w:space="0" w:color="00000A"/>
              <w:right w:val="nil"/>
              <w:insideV w:val="nil"/>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100</w:t>
            </w:r>
          </w:p>
        </w:tc>
        <w:tc>
          <w:tcPr>
            <w:tcW w:w="684" w:type="dxa"/>
            <w:gridSpan w:val="2"/>
            <w:tcBorders>
              <w:top w:val="nil"/>
              <w:left w:val="single" w:sz="8" w:space="0" w:color="00000A"/>
              <w:bottom w:val="single" w:sz="8" w:space="0" w:color="00000A"/>
              <w:insideH w:val="single" w:sz="8" w:space="0" w:color="00000A"/>
              <w:right w:val="single" w:sz="4" w:space="0" w:color="00000A"/>
              <w:insideV w:val="single" w:sz="4" w:space="0" w:color="00000A"/>
            </w:tcBorders>
            <w:shd w:fill="FFFFFF" w:val="clear"/>
            <w:tcMar>
              <w:left w:w="60" w:type="dxa"/>
            </w:tcM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546,0</w:t>
            </w:r>
          </w:p>
        </w:tc>
        <w:tc>
          <w:tcPr>
            <w:tcW w:w="813" w:type="dxa"/>
            <w:gridSpan w:val="2"/>
            <w:tcBorders>
              <w:top w:val="nil"/>
              <w:left w:val="nil"/>
              <w:bottom w:val="single" w:sz="8" w:space="0" w:color="00000A"/>
              <w:insideH w:val="single" w:sz="8" w:space="0" w:color="00000A"/>
              <w:right w:val="single" w:sz="8" w:space="0" w:color="00000A"/>
              <w:insideV w:val="single" w:sz="8" w:space="0" w:color="00000A"/>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t>100</w:t>
            </w:r>
          </w:p>
        </w:tc>
      </w:tr>
      <w:tr>
        <w:trPr>
          <w:trHeight w:val="300" w:hRule="atLeast"/>
          <w:cantSplit w:val="false"/>
        </w:trPr>
        <w:tc>
          <w:tcPr>
            <w:tcW w:w="1497" w:type="dxa"/>
            <w:tcBorders>
              <w:top w:val="nil"/>
              <w:left w:val="nil"/>
              <w:bottom w:val="nil"/>
              <w:insideH w:val="nil"/>
              <w:right w:val="nil"/>
              <w:insideV w:val="nil"/>
            </w:tcBorders>
            <w:shd w:fill="FFFFFF" w:val="clear"/>
            <w:vAlign w:val="bottom"/>
          </w:tcPr>
          <w:p>
            <w:pPr>
              <w:pStyle w:val="Normal"/>
              <w:spacing w:lineRule="auto" w:line="240" w:beforeAutospacing="1" w:afterAutospacing="1"/>
              <w:rPr>
                <w:rFonts w:eastAsia="Times New Roman" w:cs="Arial" w:ascii="Arial" w:hAnsi="Arial"/>
                <w:color w:val="000000"/>
                <w:lang w:eastAsia="fr-FR"/>
              </w:rPr>
            </w:pPr>
            <w:r>
              <w:rPr>
                <w:rFonts w:eastAsia="Times New Roman" w:cs="Arial" w:ascii="Arial" w:hAnsi="Arial"/>
                <w:color w:val="000000"/>
                <w:lang w:eastAsia="fr-FR"/>
              </w:rPr>
            </w:r>
          </w:p>
        </w:tc>
        <w:tc>
          <w:tcPr>
            <w:tcW w:w="934" w:type="dxa"/>
            <w:tcBorders>
              <w:top w:val="nil"/>
              <w:left w:val="nil"/>
              <w:bottom w:val="nil"/>
              <w:insideH w:val="nil"/>
              <w:right w:val="nil"/>
              <w:insideV w:val="nil"/>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r>
          </w:p>
        </w:tc>
        <w:tc>
          <w:tcPr>
            <w:tcW w:w="1304" w:type="dxa"/>
            <w:tcBorders>
              <w:top w:val="nil"/>
              <w:left w:val="nil"/>
              <w:bottom w:val="nil"/>
              <w:insideH w:val="nil"/>
              <w:right w:val="nil"/>
              <w:insideV w:val="nil"/>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r>
          </w:p>
        </w:tc>
        <w:tc>
          <w:tcPr>
            <w:tcW w:w="708" w:type="dxa"/>
            <w:tcBorders>
              <w:top w:val="nil"/>
              <w:left w:val="nil"/>
              <w:bottom w:val="nil"/>
              <w:insideH w:val="nil"/>
              <w:right w:val="nil"/>
              <w:insideV w:val="nil"/>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r>
          </w:p>
        </w:tc>
        <w:tc>
          <w:tcPr>
            <w:tcW w:w="563" w:type="dxa"/>
            <w:gridSpan w:val="2"/>
            <w:tcBorders>
              <w:top w:val="nil"/>
              <w:left w:val="nil"/>
              <w:bottom w:val="nil"/>
              <w:insideH w:val="nil"/>
              <w:right w:val="nil"/>
              <w:insideV w:val="nil"/>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r>
          </w:p>
        </w:tc>
        <w:tc>
          <w:tcPr>
            <w:tcW w:w="934" w:type="dxa"/>
            <w:gridSpan w:val="2"/>
            <w:tcBorders>
              <w:top w:val="nil"/>
              <w:left w:val="nil"/>
              <w:bottom w:val="nil"/>
              <w:insideH w:val="nil"/>
              <w:right w:val="nil"/>
              <w:insideV w:val="nil"/>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r>
          </w:p>
        </w:tc>
        <w:tc>
          <w:tcPr>
            <w:tcW w:w="842" w:type="dxa"/>
            <w:tcBorders>
              <w:top w:val="nil"/>
              <w:left w:val="nil"/>
              <w:bottom w:val="nil"/>
              <w:insideH w:val="nil"/>
              <w:right w:val="nil"/>
              <w:insideV w:val="nil"/>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r>
          </w:p>
        </w:tc>
        <w:tc>
          <w:tcPr>
            <w:tcW w:w="684" w:type="dxa"/>
            <w:gridSpan w:val="2"/>
            <w:tcBorders>
              <w:top w:val="nil"/>
              <w:left w:val="nil"/>
              <w:bottom w:val="nil"/>
              <w:insideH w:val="nil"/>
              <w:right w:val="nil"/>
              <w:insideV w:val="nil"/>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r>
          </w:p>
        </w:tc>
        <w:tc>
          <w:tcPr>
            <w:tcW w:w="813" w:type="dxa"/>
            <w:gridSpan w:val="2"/>
            <w:tcBorders>
              <w:top w:val="nil"/>
              <w:left w:val="nil"/>
              <w:bottom w:val="nil"/>
              <w:insideH w:val="nil"/>
              <w:right w:val="nil"/>
              <w:insideV w:val="nil"/>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r>
          </w:p>
        </w:tc>
      </w:tr>
      <w:tr>
        <w:trPr>
          <w:trHeight w:val="300" w:hRule="atLeast"/>
          <w:cantSplit w:val="false"/>
        </w:trPr>
        <w:tc>
          <w:tcPr>
            <w:tcW w:w="4444" w:type="dxa"/>
            <w:gridSpan w:val="5"/>
            <w:tcBorders>
              <w:top w:val="nil"/>
              <w:left w:val="nil"/>
              <w:bottom w:val="nil"/>
              <w:insideH w:val="nil"/>
              <w:right w:val="nil"/>
              <w:insideV w:val="nil"/>
            </w:tcBorders>
            <w:shd w:fill="FFFFFF" w:val="clear"/>
            <w:vAlign w:val="bottom"/>
          </w:tcPr>
          <w:p>
            <w:pPr>
              <w:pStyle w:val="Normal"/>
              <w:spacing w:lineRule="auto" w:line="240" w:beforeAutospacing="1" w:afterAutospacing="1"/>
              <w:rPr>
                <w:rFonts w:eastAsia="Times New Roman" w:cs="Arial" w:ascii="Arial" w:hAnsi="Arial"/>
                <w:color w:val="000000"/>
                <w:lang w:eastAsia="fr-FR"/>
              </w:rPr>
            </w:pPr>
            <w:r>
              <w:rPr>
                <w:rFonts w:eastAsia="Times New Roman" w:cs="Arial" w:ascii="Arial" w:hAnsi="Arial"/>
                <w:color w:val="000000"/>
                <w:lang w:eastAsia="fr-FR"/>
              </w:rPr>
              <w:t>Fossiles = Charbon + lignite + pétrole + gaz</w:t>
            </w:r>
          </w:p>
        </w:tc>
        <w:tc>
          <w:tcPr>
            <w:tcW w:w="563" w:type="dxa"/>
            <w:gridSpan w:val="2"/>
            <w:tcBorders>
              <w:top w:val="nil"/>
              <w:left w:val="nil"/>
              <w:bottom w:val="nil"/>
              <w:insideH w:val="nil"/>
              <w:right w:val="nil"/>
              <w:insideV w:val="nil"/>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r>
          </w:p>
        </w:tc>
        <w:tc>
          <w:tcPr>
            <w:tcW w:w="933" w:type="dxa"/>
            <w:tcBorders>
              <w:top w:val="nil"/>
              <w:left w:val="nil"/>
              <w:bottom w:val="nil"/>
              <w:insideH w:val="nil"/>
              <w:right w:val="nil"/>
              <w:insideV w:val="nil"/>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r>
          </w:p>
        </w:tc>
        <w:tc>
          <w:tcPr>
            <w:tcW w:w="843" w:type="dxa"/>
            <w:gridSpan w:val="2"/>
            <w:tcBorders>
              <w:top w:val="nil"/>
              <w:left w:val="nil"/>
              <w:bottom w:val="nil"/>
              <w:insideH w:val="nil"/>
              <w:right w:val="nil"/>
              <w:insideV w:val="nil"/>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r>
          </w:p>
        </w:tc>
        <w:tc>
          <w:tcPr>
            <w:tcW w:w="683" w:type="dxa"/>
            <w:tcBorders>
              <w:top w:val="nil"/>
              <w:left w:val="nil"/>
              <w:bottom w:val="nil"/>
              <w:insideH w:val="nil"/>
              <w:right w:val="nil"/>
              <w:insideV w:val="nil"/>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r>
          </w:p>
        </w:tc>
        <w:tc>
          <w:tcPr>
            <w:tcW w:w="813" w:type="dxa"/>
            <w:gridSpan w:val="2"/>
            <w:tcBorders>
              <w:top w:val="nil"/>
              <w:left w:val="nil"/>
              <w:bottom w:val="nil"/>
              <w:insideH w:val="nil"/>
              <w:right w:val="nil"/>
              <w:insideV w:val="nil"/>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r>
          </w:p>
        </w:tc>
      </w:tr>
      <w:tr>
        <w:trPr>
          <w:trHeight w:val="300" w:hRule="atLeast"/>
          <w:cantSplit w:val="false"/>
        </w:trPr>
        <w:tc>
          <w:tcPr>
            <w:tcW w:w="4444" w:type="dxa"/>
            <w:gridSpan w:val="5"/>
            <w:tcBorders>
              <w:top w:val="nil"/>
              <w:left w:val="nil"/>
              <w:bottom w:val="nil"/>
              <w:insideH w:val="nil"/>
              <w:right w:val="nil"/>
              <w:insideV w:val="nil"/>
            </w:tcBorders>
            <w:shd w:fill="FFFFFF" w:val="clear"/>
            <w:vAlign w:val="bottom"/>
          </w:tcPr>
          <w:p>
            <w:pPr>
              <w:pStyle w:val="Normal"/>
              <w:spacing w:lineRule="auto" w:line="240" w:beforeAutospacing="1" w:afterAutospacing="1"/>
              <w:rPr>
                <w:rFonts w:eastAsia="Times New Roman" w:cs="Arial" w:ascii="Arial" w:hAnsi="Arial"/>
                <w:color w:val="000000"/>
                <w:lang w:eastAsia="fr-FR"/>
              </w:rPr>
            </w:pPr>
            <w:r>
              <w:rPr>
                <w:rFonts w:eastAsia="Times New Roman" w:cs="Arial" w:ascii="Arial" w:hAnsi="Arial"/>
                <w:color w:val="000000"/>
                <w:lang w:eastAsia="fr-FR"/>
              </w:rPr>
              <w:t>ENR = Eolien + Photovoltaïque + divers(hors hydraulique)</w:t>
            </w:r>
          </w:p>
        </w:tc>
        <w:tc>
          <w:tcPr>
            <w:tcW w:w="563" w:type="dxa"/>
            <w:gridSpan w:val="2"/>
            <w:tcBorders>
              <w:top w:val="nil"/>
              <w:left w:val="nil"/>
              <w:bottom w:val="nil"/>
              <w:insideH w:val="nil"/>
              <w:right w:val="nil"/>
              <w:insideV w:val="nil"/>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r>
          </w:p>
        </w:tc>
        <w:tc>
          <w:tcPr>
            <w:tcW w:w="933" w:type="dxa"/>
            <w:tcBorders>
              <w:top w:val="nil"/>
              <w:left w:val="nil"/>
              <w:bottom w:val="nil"/>
              <w:insideH w:val="nil"/>
              <w:right w:val="nil"/>
              <w:insideV w:val="nil"/>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r>
          </w:p>
        </w:tc>
        <w:tc>
          <w:tcPr>
            <w:tcW w:w="843" w:type="dxa"/>
            <w:gridSpan w:val="2"/>
            <w:tcBorders>
              <w:top w:val="nil"/>
              <w:left w:val="nil"/>
              <w:bottom w:val="nil"/>
              <w:insideH w:val="nil"/>
              <w:right w:val="nil"/>
              <w:insideV w:val="nil"/>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r>
          </w:p>
        </w:tc>
        <w:tc>
          <w:tcPr>
            <w:tcW w:w="683" w:type="dxa"/>
            <w:tcBorders>
              <w:top w:val="nil"/>
              <w:left w:val="nil"/>
              <w:bottom w:val="nil"/>
              <w:insideH w:val="nil"/>
              <w:right w:val="nil"/>
              <w:insideV w:val="nil"/>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r>
          </w:p>
        </w:tc>
        <w:tc>
          <w:tcPr>
            <w:tcW w:w="813" w:type="dxa"/>
            <w:gridSpan w:val="2"/>
            <w:tcBorders>
              <w:top w:val="nil"/>
              <w:left w:val="nil"/>
              <w:bottom w:val="nil"/>
              <w:insideH w:val="nil"/>
              <w:right w:val="nil"/>
              <w:insideV w:val="nil"/>
            </w:tcBorders>
            <w:shd w:fill="FFFFFF" w:val="clear"/>
            <w:vAlign w:val="bottom"/>
          </w:tcPr>
          <w:p>
            <w:pPr>
              <w:pStyle w:val="Normal"/>
              <w:spacing w:lineRule="auto" w:line="240" w:beforeAutospacing="1" w:afterAutospacing="1"/>
              <w:jc w:val="center"/>
              <w:rPr>
                <w:rFonts w:eastAsia="Times New Roman" w:cs="Arial" w:ascii="Arial" w:hAnsi="Arial"/>
                <w:color w:val="000000"/>
                <w:lang w:eastAsia="fr-FR"/>
              </w:rPr>
            </w:pPr>
            <w:r>
              <w:rPr>
                <w:rFonts w:eastAsia="Times New Roman" w:cs="Arial" w:ascii="Arial" w:hAnsi="Arial"/>
                <w:color w:val="000000"/>
                <w:lang w:eastAsia="fr-FR"/>
              </w:rPr>
            </w:r>
          </w:p>
        </w:tc>
      </w:tr>
    </w:tbl>
    <w:p>
      <w:pPr>
        <w:pStyle w:val="Normal"/>
        <w:spacing w:beforeAutospacing="1" w:afterAutospacing="1"/>
        <w:jc w:val="both"/>
        <w:rPr>
          <w:rFonts w:cs="Arial" w:ascii="Arial" w:hAnsi="Arial"/>
        </w:rPr>
      </w:pPr>
      <w:r>
        <w:rPr>
          <w:rFonts w:cs="Arial" w:ascii="Arial" w:hAnsi="Arial"/>
        </w:rPr>
        <w:t>Les combustibles fossiles fournissent 54,7% de l’électricité en Allemagne et 6,2% en France : d’où la différence dans les émissions de CO</w:t>
      </w:r>
      <w:r>
        <w:rPr>
          <w:rFonts w:cs="Arial" w:ascii="Arial" w:hAnsi="Arial"/>
          <w:vertAlign w:val="subscript"/>
        </w:rPr>
        <w:t>2</w:t>
      </w:r>
      <w:r>
        <w:rPr>
          <w:rFonts w:cs="Arial" w:ascii="Arial" w:hAnsi="Arial"/>
        </w:rPr>
        <w:t xml:space="preserve"> par kWh (560 g en Allemagne contre 72 g en France), et la raison principale de la différence des émissions annuelles de CO</w:t>
      </w:r>
      <w:r>
        <w:rPr>
          <w:rFonts w:cs="Arial" w:ascii="Arial" w:hAnsi="Arial"/>
          <w:vertAlign w:val="subscript"/>
        </w:rPr>
        <w:t>2</w:t>
      </w:r>
      <w:r>
        <w:rPr>
          <w:rFonts w:cs="Arial" w:ascii="Arial" w:hAnsi="Arial"/>
        </w:rPr>
        <w:t xml:space="preserve"> par habitant (11,4 t en Allemagne et 7,2 t en France)</w:t>
      </w:r>
      <w:r>
        <w:rPr>
          <w:rStyle w:val="Ancredenotedebasdepage"/>
          <w:rFonts w:cs="Arial" w:ascii="Arial" w:hAnsi="Arial"/>
        </w:rPr>
        <w:footnoteReference w:id="6"/>
      </w:r>
      <w:r>
        <w:rPr>
          <w:rFonts w:cs="Arial" w:ascii="Arial" w:hAnsi="Arial"/>
        </w:rPr>
        <w:t>.</w:t>
      </w:r>
    </w:p>
    <w:p>
      <w:pPr>
        <w:pStyle w:val="Normal"/>
        <w:spacing w:beforeAutospacing="1" w:afterAutospacing="1"/>
        <w:jc w:val="both"/>
        <w:rPr>
          <w:rFonts w:cs="Arial" w:ascii="Arial" w:hAnsi="Arial"/>
        </w:rPr>
      </w:pPr>
      <w:r>
        <w:rPr>
          <w:rFonts w:cs="Arial" w:ascii="Arial" w:hAnsi="Arial"/>
        </w:rPr>
        <w:t>Le nucléaire ne fournit plus que 14,8% de l’électricité en Allemagne alors qu’il fournit plus des trois quarts (76,3%) de l’électricité en France. Cela résulte de l’effort d’investissement en électronucléaire fait en France après les crises du pétrole des années 1973-74.</w:t>
      </w:r>
    </w:p>
    <w:p>
      <w:pPr>
        <w:pStyle w:val="Normal"/>
        <w:spacing w:lineRule="auto" w:line="240" w:beforeAutospacing="1" w:afterAutospacing="1"/>
        <w:jc w:val="both"/>
        <w:rPr>
          <w:rFonts w:cs="Arial" w:ascii="Arial" w:hAnsi="Arial"/>
        </w:rPr>
      </w:pPr>
      <w:r>
        <w:rPr>
          <w:rFonts w:cs="Arial" w:ascii="Arial" w:hAnsi="Arial"/>
        </w:rPr>
        <w:t>Les énergies renouvelables ENR (hors hydraulique) fournissent environ 27,4% de l’électricité en Allemagne et seulement 6,7% en France. On remarque que :</w:t>
      </w:r>
    </w:p>
    <w:p>
      <w:pPr>
        <w:pStyle w:val="Normal"/>
        <w:numPr>
          <w:ilvl w:val="0"/>
          <w:numId w:val="3"/>
        </w:numPr>
        <w:spacing w:lineRule="auto" w:line="240" w:beforeAutospacing="1" w:afterAutospacing="1"/>
        <w:contextualSpacing/>
        <w:jc w:val="both"/>
        <w:rPr>
          <w:rFonts w:cs="Arial" w:ascii="Arial" w:hAnsi="Arial"/>
        </w:rPr>
      </w:pPr>
      <w:r>
        <w:rPr>
          <w:rFonts w:cs="Arial" w:ascii="Arial" w:hAnsi="Arial"/>
        </w:rPr>
        <w:t>la puissance installée allemande en énergies renouvelables ENR hors hydraulique (92900 MW, soit 46,6% du parc électrogène allemand) résulte de l’effort d’investissement fait en Allemagne pour l’éolien et le photovoltaïque depuis une dizaine d’années. Elle est supérieure à la puissance installée française en nucléaire (63100 MW, soit 48,8% du parc électrogène français).</w:t>
      </w:r>
    </w:p>
    <w:p>
      <w:pPr>
        <w:pStyle w:val="Normal"/>
        <w:numPr>
          <w:ilvl w:val="0"/>
          <w:numId w:val="3"/>
        </w:numPr>
        <w:spacing w:lineRule="auto" w:line="240" w:beforeAutospacing="1" w:afterAutospacing="1"/>
        <w:contextualSpacing/>
        <w:jc w:val="both"/>
        <w:rPr>
          <w:rFonts w:cs="Arial" w:ascii="Arial" w:hAnsi="Arial"/>
        </w:rPr>
      </w:pPr>
      <w:r>
        <w:rPr>
          <w:rFonts w:cs="Arial" w:ascii="Arial" w:hAnsi="Arial"/>
        </w:rPr>
        <w:t>la production d’électricité allemande par les énergies renouvelables ENR hors hydraulique (169,2 TWh), ne représente que 27,3% de la production allemande. Ceci reflète l’inconvénient dû à l’intermittence de la production d’électricité éolienne et photovoltaïque.</w:t>
      </w:r>
    </w:p>
    <w:p>
      <w:pPr>
        <w:pStyle w:val="Normal"/>
        <w:spacing w:lineRule="auto" w:line="240" w:beforeAutospacing="1" w:afterAutospacing="1"/>
        <w:jc w:val="both"/>
        <w:rPr>
          <w:rFonts w:cs="Arial" w:ascii="Arial" w:hAnsi="Arial"/>
        </w:rPr>
      </w:pPr>
      <w:r>
        <w:rPr>
          <w:rFonts w:cs="Arial" w:ascii="Arial" w:hAnsi="Arial"/>
        </w:rPr>
        <w:t>L’hydroélectricité représente 3,1% de la production d’électricité en Allemagne, et 10,8% en France. (2015 a été une année de faible hydraulicité en Europe).</w:t>
      </w:r>
    </w:p>
    <w:p>
      <w:pPr>
        <w:pStyle w:val="Normal"/>
        <w:spacing w:lineRule="auto" w:line="240" w:beforeAutospacing="1" w:afterAutospacing="1"/>
        <w:jc w:val="both"/>
        <w:rPr>
          <w:rFonts w:cs="Arial" w:ascii="Arial" w:hAnsi="Arial"/>
        </w:rPr>
      </w:pPr>
      <w:r>
        <w:rPr>
          <w:rFonts w:cs="Arial" w:ascii="Arial" w:hAnsi="Arial"/>
        </w:rPr>
        <w:t>Le prix de l’électricité pour les ménages moyens est de 0,295 €/kWh en Allemagne et de 0,162 €/kWh en France.</w:t>
      </w:r>
    </w:p>
    <w:p>
      <w:pPr>
        <w:pStyle w:val="Normal"/>
        <w:spacing w:lineRule="auto" w:line="240" w:beforeAutospacing="1" w:afterAutospacing="1"/>
        <w:jc w:val="both"/>
        <w:rPr>
          <w:rFonts w:cs="Arial" w:ascii="Arial" w:hAnsi="Arial"/>
        </w:rPr>
      </w:pPr>
      <w:r>
        <w:rPr>
          <w:rFonts w:cs="Arial" w:ascii="Arial" w:hAnsi="Arial"/>
        </w:rPr>
        <w:t>Enfin l’exportation d’électricité est de 51,8 TWh soit 8,4% de la production en Allemagne et 63,7 TWh soit 11,6% de la production en France.</w:t>
      </w:r>
    </w:p>
    <w:p>
      <w:pPr>
        <w:pStyle w:val="Normal"/>
        <w:spacing w:before="0" w:after="0"/>
        <w:jc w:val="both"/>
        <w:rPr>
          <w:rFonts w:cs="Arial" w:ascii="Arial" w:hAnsi="Arial"/>
        </w:rPr>
      </w:pPr>
      <w:r>
        <w:rPr>
          <w:rFonts w:cs="Arial" w:ascii="Arial" w:hAnsi="Arial"/>
        </w:rPr>
      </w:r>
    </w:p>
    <w:p>
      <w:pPr>
        <w:pStyle w:val="Normal"/>
        <w:spacing w:before="0" w:after="0"/>
        <w:jc w:val="both"/>
        <w:rPr>
          <w:rFonts w:cs="Arial" w:ascii="Arial" w:hAnsi="Arial"/>
        </w:rPr>
      </w:pPr>
      <w:r>
        <w:rPr>
          <w:rFonts w:cs="Arial" w:ascii="Arial" w:hAnsi="Arial"/>
        </w:rPr>
        <w:t>Remarque : En comparant les fiches 2012 et 2015, on constate une grande stabilité de la situation énergétique des deux pays, en dépit de l’augmentation de l’utilisation des énergies renouvelables (ENR) :</w:t>
      </w:r>
    </w:p>
    <w:p>
      <w:pPr>
        <w:pStyle w:val="Normal"/>
        <w:spacing w:before="0" w:after="0"/>
        <w:jc w:val="both"/>
        <w:rPr>
          <w:rFonts w:cs="Arial" w:ascii="Arial" w:hAnsi="Arial"/>
        </w:rPr>
      </w:pPr>
      <w:r>
        <w:rPr>
          <w:rFonts w:cs="Arial" w:ascii="Arial" w:hAnsi="Arial"/>
        </w:rPr>
        <w:t>1)- Energies primaires : la part des ENR passe de 12 à 12,5% en Allemagne, mais diminue de 13 à 8,5% en France, à cause de la faible hydroélectricité en 2015.</w:t>
      </w:r>
    </w:p>
    <w:p>
      <w:pPr>
        <w:pStyle w:val="Normal"/>
        <w:spacing w:before="0" w:after="0"/>
        <w:jc w:val="both"/>
        <w:rPr>
          <w:rFonts w:cs="Arial" w:ascii="Arial" w:hAnsi="Arial"/>
        </w:rPr>
      </w:pPr>
      <w:r>
        <w:rPr>
          <w:rFonts w:cs="Arial" w:ascii="Arial" w:hAnsi="Arial"/>
        </w:rPr>
        <w:t>2)- Electricité :</w:t>
      </w:r>
    </w:p>
    <w:p>
      <w:pPr>
        <w:pStyle w:val="Normal"/>
        <w:spacing w:before="0" w:after="0"/>
        <w:jc w:val="both"/>
        <w:rPr>
          <w:rFonts w:cs="Arial" w:ascii="Arial" w:hAnsi="Arial"/>
        </w:rPr>
      </w:pPr>
      <w:r>
        <w:rPr>
          <w:rFonts w:cs="Arial" w:ascii="Arial" w:hAnsi="Arial"/>
        </w:rPr>
        <w:t>-</w:t>
        <w:tab/>
        <w:t>Puissance installée : elle augmente de 74500 MW (42%) à 92900 MW (46,6%) en Allemagne, et de 9500 (7,7%) à 18200 MW (14,0%) en France.</w:t>
      </w:r>
    </w:p>
    <w:p>
      <w:pPr>
        <w:pStyle w:val="ListParagraph"/>
        <w:numPr>
          <w:ilvl w:val="0"/>
          <w:numId w:val="3"/>
        </w:numPr>
        <w:spacing w:before="0" w:after="0"/>
        <w:ind w:left="0" w:right="0" w:hanging="360"/>
        <w:contextualSpacing/>
        <w:jc w:val="both"/>
        <w:rPr>
          <w:rFonts w:cs="Arial" w:ascii="Arial" w:hAnsi="Arial"/>
        </w:rPr>
      </w:pPr>
      <w:r>
        <w:rPr>
          <w:rFonts w:cs="Arial" w:ascii="Arial" w:hAnsi="Arial"/>
        </w:rPr>
        <w:t>Production annuelle : elle augmente de 131,3 (22,8%) à 169,2 TWh (27,4%) en Allemagne, et de 20 (4%) à 36,4 TWh ((6,7%) en France.</w:t>
      </w:r>
    </w:p>
    <w:p>
      <w:pPr>
        <w:pStyle w:val="Normal"/>
        <w:rPr>
          <w:rFonts w:cs="Arial" w:ascii="Arial" w:hAnsi="Arial"/>
        </w:rPr>
      </w:pPr>
      <w:r>
        <w:rPr>
          <w:rFonts w:cs="Arial" w:ascii="Arial" w:hAnsi="Arial"/>
        </w:rPr>
      </w:r>
    </w:p>
    <w:p>
      <w:pPr>
        <w:pStyle w:val="Normal"/>
        <w:spacing w:before="0" w:after="0"/>
        <w:jc w:val="right"/>
        <w:rPr>
          <w:rFonts w:cs="Arial" w:ascii="Arial" w:hAnsi="Arial"/>
        </w:rPr>
      </w:pPr>
      <w:r>
        <w:rPr>
          <w:rFonts w:cs="Arial" w:ascii="Arial" w:hAnsi="Arial"/>
        </w:rPr>
        <w:t>Orsay, le 1</w:t>
      </w:r>
      <w:r>
        <w:rPr>
          <w:rFonts w:cs="Arial" w:ascii="Arial" w:hAnsi="Arial"/>
          <w:vertAlign w:val="superscript"/>
        </w:rPr>
        <w:t>er</w:t>
      </w:r>
      <w:r>
        <w:rPr>
          <w:rFonts w:cs="Arial" w:ascii="Arial" w:hAnsi="Arial"/>
        </w:rPr>
        <w:t xml:space="preserve"> septembre 2016</w:t>
      </w:r>
    </w:p>
    <w:p>
      <w:pPr>
        <w:pStyle w:val="Normal"/>
        <w:spacing w:before="0" w:after="0"/>
        <w:jc w:val="right"/>
        <w:rPr>
          <w:rFonts w:cs="Arial" w:ascii="Arial" w:hAnsi="Arial"/>
        </w:rPr>
      </w:pPr>
      <w:r>
        <w:rPr>
          <w:rFonts w:cs="Arial" w:ascii="Arial" w:hAnsi="Arial"/>
        </w:rPr>
        <w:t>Jean-Michel GAMA</w:t>
      </w:r>
    </w:p>
    <w:p>
      <w:pPr>
        <w:pStyle w:val="Normal"/>
        <w:rPr>
          <w:rFonts w:cs="Arial" w:ascii="Arial" w:hAnsi="Arial"/>
        </w:rPr>
      </w:pPr>
      <w:r>
        <w:rPr>
          <w:rFonts w:cs="Arial" w:ascii="Arial" w:hAnsi="Arial"/>
        </w:rPr>
      </w:r>
      <w:r>
        <w:pict>
          <v:rect fillcolor="#FFFFFF" strokecolor="#F79646" strokeweight="2pt" style="position:absolute;width:469.35pt;height:325.1pt;mso-wrap-distance-left:9pt;mso-wrap-distance-right:9pt;mso-wrap-distance-top:0pt;mso-wrap-distance-bottom:0pt;margin-top:19.1pt;margin-left:-5.05pt">
            <v:textbox>
              <w:txbxContent>
                <w:p>
                  <w:pPr>
                    <w:pStyle w:val="Contenudecadre"/>
                    <w:spacing w:before="0" w:after="0"/>
                    <w:jc w:val="both"/>
                    <w:rPr>
                      <w:rFonts w:cs="Arial" w:ascii="Arial" w:hAnsi="Arial"/>
                      <w:i/>
                    </w:rPr>
                  </w:pPr>
                  <w:r>
                    <w:rPr>
                      <w:rFonts w:cs="Arial" w:ascii="Arial" w:hAnsi="Arial"/>
                      <w:i/>
                    </w:rPr>
                    <w:t>Sources utilisées :</w:t>
                  </w:r>
                </w:p>
                <w:p>
                  <w:pPr>
                    <w:pStyle w:val="Contenudecadre"/>
                    <w:spacing w:before="0" w:after="0"/>
                    <w:jc w:val="both"/>
                    <w:rPr>
                      <w:rFonts w:cs="Arial" w:ascii="Arial" w:hAnsi="Arial"/>
                      <w:i/>
                    </w:rPr>
                  </w:pPr>
                  <w:r>
                    <w:rPr>
                      <w:rFonts w:cs="Arial" w:ascii="Arial" w:hAnsi="Arial"/>
                      <w:i/>
                    </w:rPr>
                  </w:r>
                </w:p>
                <w:p>
                  <w:pPr>
                    <w:pStyle w:val="Contenudecadre"/>
                    <w:spacing w:before="0" w:after="0"/>
                    <w:jc w:val="both"/>
                    <w:rPr>
                      <w:rFonts w:cs="Arial" w:ascii="Arial" w:hAnsi="Arial"/>
                      <w:i/>
                    </w:rPr>
                  </w:pPr>
                  <w:r>
                    <w:rPr>
                      <w:rFonts w:cs="Arial" w:ascii="Arial" w:hAnsi="Arial"/>
                      <w:i/>
                    </w:rPr>
                    <w:t>1)-International :</w:t>
                  </w:r>
                </w:p>
                <w:p>
                  <w:pPr>
                    <w:pStyle w:val="ListParagraph"/>
                    <w:numPr>
                      <w:ilvl w:val="0"/>
                      <w:numId w:val="3"/>
                    </w:numPr>
                    <w:spacing w:before="0" w:after="0"/>
                    <w:contextualSpacing/>
                    <w:jc w:val="both"/>
                    <w:rPr>
                      <w:rFonts w:cs="Arial" w:ascii="Arial" w:hAnsi="Arial"/>
                      <w:i/>
                    </w:rPr>
                  </w:pPr>
                  <w:r>
                    <w:rPr>
                      <w:rFonts w:cs="Arial" w:ascii="Arial" w:hAnsi="Arial"/>
                      <w:i/>
                    </w:rPr>
                    <w:t>Agence Internationale de l’Energie,</w:t>
                  </w:r>
                </w:p>
                <w:p>
                  <w:pPr>
                    <w:pStyle w:val="Contenudecadre"/>
                    <w:spacing w:before="0" w:after="0"/>
                    <w:jc w:val="both"/>
                    <w:rPr>
                      <w:rFonts w:cs="Arial" w:ascii="Arial" w:hAnsi="Arial"/>
                      <w:i/>
                    </w:rPr>
                  </w:pPr>
                  <w:r>
                    <w:rPr>
                      <w:rFonts w:cs="Arial" w:ascii="Arial" w:hAnsi="Arial"/>
                      <w:i/>
                    </w:rPr>
                    <w:t>2)- Europe :</w:t>
                  </w:r>
                </w:p>
                <w:p>
                  <w:pPr>
                    <w:pStyle w:val="ListParagraph"/>
                    <w:numPr>
                      <w:ilvl w:val="0"/>
                      <w:numId w:val="3"/>
                    </w:numPr>
                    <w:spacing w:before="0" w:after="0"/>
                    <w:contextualSpacing/>
                    <w:jc w:val="both"/>
                    <w:rPr>
                      <w:rFonts w:cs="Arial" w:ascii="Arial" w:hAnsi="Arial"/>
                      <w:i/>
                    </w:rPr>
                  </w:pPr>
                  <w:r>
                    <w:rPr>
                      <w:rFonts w:cs="Arial" w:ascii="Arial" w:hAnsi="Arial"/>
                      <w:i/>
                    </w:rPr>
                    <w:t>Organisme européen des statistiques EUROSTAT,</w:t>
                  </w:r>
                </w:p>
                <w:p>
                  <w:pPr>
                    <w:pStyle w:val="ListParagraph"/>
                    <w:numPr>
                      <w:ilvl w:val="0"/>
                      <w:numId w:val="3"/>
                    </w:numPr>
                    <w:spacing w:before="0" w:after="0"/>
                    <w:contextualSpacing/>
                    <w:jc w:val="both"/>
                    <w:rPr>
                      <w:rFonts w:cs="Arial" w:ascii="Arial" w:hAnsi="Arial"/>
                      <w:i/>
                    </w:rPr>
                  </w:pPr>
                  <w:r>
                    <w:rPr>
                      <w:rFonts w:cs="Arial" w:ascii="Arial" w:hAnsi="Arial"/>
                      <w:i/>
                    </w:rPr>
                    <w:t>European Network of Transmission System Operators for Electricity ENTSOE : L’électricité en Europe 2015 – Synthèse de la consommation, de la production et des échanges d’électricité au sein de l’ENTSO-E,</w:t>
                  </w:r>
                </w:p>
                <w:p>
                  <w:pPr>
                    <w:pStyle w:val="Contenudecadre"/>
                    <w:spacing w:before="0" w:after="0"/>
                    <w:jc w:val="both"/>
                    <w:rPr>
                      <w:rFonts w:cs="Arial" w:ascii="Arial" w:hAnsi="Arial"/>
                      <w:i/>
                    </w:rPr>
                  </w:pPr>
                  <w:r>
                    <w:rPr>
                      <w:rFonts w:cs="Arial" w:ascii="Arial" w:hAnsi="Arial"/>
                      <w:i/>
                    </w:rPr>
                    <w:t>3)- Allemagne :</w:t>
                  </w:r>
                </w:p>
                <w:p>
                  <w:pPr>
                    <w:pStyle w:val="ListParagraph"/>
                    <w:numPr>
                      <w:ilvl w:val="0"/>
                      <w:numId w:val="3"/>
                    </w:numPr>
                    <w:spacing w:before="0" w:after="0"/>
                    <w:contextualSpacing/>
                    <w:jc w:val="both"/>
                    <w:rPr>
                      <w:rFonts w:cs="Arial" w:ascii="Arial" w:hAnsi="Arial"/>
                      <w:i/>
                      <w:lang w:val="en-US"/>
                    </w:rPr>
                  </w:pPr>
                  <w:r>
                    <w:rPr>
                      <w:rFonts w:cs="Arial" w:ascii="Arial" w:hAnsi="Arial"/>
                      <w:i/>
                      <w:lang w:val="en-US"/>
                    </w:rPr>
                    <w:t>Bundesministerium für Wirtschaft und Technologie,</w:t>
                  </w:r>
                </w:p>
                <w:p>
                  <w:pPr>
                    <w:pStyle w:val="ListParagraph"/>
                    <w:numPr>
                      <w:ilvl w:val="0"/>
                      <w:numId w:val="3"/>
                    </w:numPr>
                    <w:spacing w:before="0" w:after="0"/>
                    <w:contextualSpacing/>
                    <w:jc w:val="both"/>
                    <w:rPr>
                      <w:rFonts w:cs="Arial" w:ascii="Arial" w:hAnsi="Arial"/>
                      <w:i/>
                    </w:rPr>
                  </w:pPr>
                  <w:r>
                    <w:rPr>
                      <w:rFonts w:cs="Arial" w:ascii="Arial" w:hAnsi="Arial"/>
                      <w:i/>
                    </w:rPr>
                    <w:t>Arbeitgemeinschaft Energie Bilanzen,</w:t>
                  </w:r>
                </w:p>
                <w:p>
                  <w:pPr>
                    <w:pStyle w:val="ListParagraph"/>
                    <w:numPr>
                      <w:ilvl w:val="0"/>
                      <w:numId w:val="3"/>
                    </w:numPr>
                    <w:spacing w:before="0" w:after="0"/>
                    <w:contextualSpacing/>
                    <w:jc w:val="both"/>
                    <w:rPr>
                      <w:rFonts w:cs="Arial" w:ascii="Arial" w:hAnsi="Arial"/>
                      <w:i/>
                    </w:rPr>
                  </w:pPr>
                  <w:r>
                    <w:rPr>
                      <w:rFonts w:cs="Arial" w:ascii="Arial" w:hAnsi="Arial"/>
                      <w:i/>
                    </w:rPr>
                    <w:t>Monitoring Bundesnetzagentur,</w:t>
                  </w:r>
                </w:p>
                <w:p>
                  <w:pPr>
                    <w:pStyle w:val="Contenudecadre"/>
                    <w:spacing w:before="0" w:after="0"/>
                    <w:jc w:val="both"/>
                    <w:rPr>
                      <w:rFonts w:cs="Arial" w:ascii="Arial" w:hAnsi="Arial"/>
                      <w:i/>
                    </w:rPr>
                  </w:pPr>
                  <w:r>
                    <w:rPr>
                      <w:rFonts w:cs="Arial" w:ascii="Arial" w:hAnsi="Arial"/>
                      <w:i/>
                    </w:rPr>
                    <w:t>4)- France :</w:t>
                  </w:r>
                </w:p>
                <w:p>
                  <w:pPr>
                    <w:pStyle w:val="ListParagraph"/>
                    <w:numPr>
                      <w:ilvl w:val="0"/>
                      <w:numId w:val="3"/>
                    </w:numPr>
                    <w:spacing w:before="0" w:after="0"/>
                    <w:contextualSpacing/>
                    <w:jc w:val="both"/>
                    <w:rPr>
                      <w:rFonts w:cs="Arial" w:ascii="Arial" w:hAnsi="Arial"/>
                      <w:i/>
                    </w:rPr>
                  </w:pPr>
                  <w:r>
                    <w:rPr>
                      <w:rFonts w:cs="Arial" w:ascii="Arial" w:hAnsi="Arial"/>
                      <w:i/>
                    </w:rPr>
                    <w:t>Ministère du Développement Durable et de l’Energie : Commissariat Général au Développement Durable (CGDD),</w:t>
                  </w:r>
                </w:p>
                <w:p>
                  <w:pPr>
                    <w:pStyle w:val="ListParagraph"/>
                    <w:numPr>
                      <w:ilvl w:val="0"/>
                      <w:numId w:val="3"/>
                    </w:numPr>
                    <w:spacing w:before="0" w:after="0"/>
                    <w:contextualSpacing/>
                    <w:jc w:val="both"/>
                    <w:rPr>
                      <w:rFonts w:cs="Arial" w:ascii="Arial" w:hAnsi="Arial"/>
                      <w:i/>
                    </w:rPr>
                  </w:pPr>
                  <w:r>
                    <w:rPr>
                      <w:rFonts w:cs="Arial" w:ascii="Arial" w:hAnsi="Arial"/>
                      <w:i/>
                    </w:rPr>
                    <w:t>Réseau de Transport de l’Electricité RTE - Bilan électrique 2015,</w:t>
                  </w:r>
                </w:p>
                <w:p>
                  <w:pPr>
                    <w:pStyle w:val="ListParagraph"/>
                    <w:numPr>
                      <w:ilvl w:val="0"/>
                      <w:numId w:val="3"/>
                    </w:numPr>
                    <w:spacing w:before="0" w:after="0"/>
                    <w:contextualSpacing/>
                    <w:jc w:val="both"/>
                    <w:rPr>
                      <w:rFonts w:cs="Arial" w:ascii="Arial" w:hAnsi="Arial"/>
                      <w:i/>
                    </w:rPr>
                  </w:pPr>
                  <w:r>
                    <w:rPr>
                      <w:rFonts w:cs="Arial" w:ascii="Arial" w:hAnsi="Arial"/>
                      <w:i/>
                    </w:rPr>
                    <w:t>Commissariat à l’Energie Atomique CEA – Memento sur l’énergie / Edition 2015</w:t>
                  </w:r>
                </w:p>
                <w:p>
                  <w:pPr>
                    <w:pStyle w:val="Contenudecadre"/>
                    <w:spacing w:before="0" w:after="0"/>
                    <w:jc w:val="both"/>
                    <w:rPr/>
                  </w:pPr>
                  <w:r>
                    <w:rPr/>
                  </w:r>
                </w:p>
              </w:txbxContent>
            </v:textbox>
          </v:rect>
        </w:pict>
      </w:r>
    </w:p>
    <w:p>
      <w:pPr>
        <w:pStyle w:val="Normal"/>
        <w:rPr>
          <w:rFonts w:cs="Arial" w:ascii="Arial" w:hAnsi="Arial"/>
        </w:rPr>
      </w:pPr>
      <w:r>
        <w:rPr>
          <w:rFonts w:cs="Arial" w:ascii="Arial" w:hAnsi="Arial"/>
        </w:rPr>
      </w:r>
    </w:p>
    <w:p>
      <w:pPr>
        <w:pStyle w:val="Normal"/>
        <w:pageBreakBefore/>
        <w:spacing w:before="0" w:after="120"/>
        <w:jc w:val="both"/>
        <w:rPr>
          <w:rFonts w:cs="Arial" w:ascii="Arial" w:hAnsi="Arial"/>
        </w:rPr>
      </w:pPr>
      <w:r>
        <w:rPr>
          <w:rFonts w:cs="Arial" w:ascii="Arial" w:hAnsi="Arial"/>
        </w:rPr>
        <w:t>Annexe 1 -</w:t>
      </w:r>
    </w:p>
    <w:p>
      <w:pPr>
        <w:pStyle w:val="Normal"/>
        <w:spacing w:before="0" w:after="120"/>
        <w:jc w:val="center"/>
        <w:rPr>
          <w:rFonts w:cs="Arial" w:ascii="Arial" w:hAnsi="Arial"/>
          <w:b/>
          <w:sz w:val="32"/>
          <w:szCs w:val="32"/>
        </w:rPr>
      </w:pPr>
      <w:r>
        <w:rPr>
          <w:rFonts w:cs="Arial" w:ascii="Arial" w:hAnsi="Arial"/>
          <w:b/>
          <w:sz w:val="32"/>
          <w:szCs w:val="32"/>
        </w:rPr>
        <w:t>Bilan des énergies en Allemagne 2015</w:t>
      </w:r>
    </w:p>
    <w:p>
      <w:pPr>
        <w:pStyle w:val="Normal"/>
        <w:spacing w:before="0" w:after="120"/>
        <w:rPr>
          <w:rFonts w:cs="Arial" w:ascii="Arial" w:hAnsi="Arial"/>
          <w:sz w:val="16"/>
          <w:szCs w:val="16"/>
        </w:rPr>
      </w:pPr>
      <w:r>
        <w:rPr>
          <w:rFonts w:cs="Arial" w:ascii="Arial" w:hAnsi="Arial"/>
          <w:sz w:val="16"/>
          <w:szCs w:val="16"/>
        </w:rPr>
      </w:r>
    </w:p>
    <w:p>
      <w:pPr>
        <w:pStyle w:val="Normal"/>
        <w:jc w:val="both"/>
        <w:rPr>
          <w:rFonts w:cs="Arial" w:ascii="Arial" w:hAnsi="Arial"/>
        </w:rPr>
      </w:pPr>
      <w:r>
        <w:rPr>
          <w:rFonts w:cs="Arial" w:ascii="Arial" w:hAnsi="Arial"/>
        </w:rPr>
        <w:t>A partir des données statistiques des organismes allemands Bundesministerium für Wirtschaft und Technologie, Arbeitgemeinschaft Energie Bilanzen, Monitoring Bundesnetzagentur, de l’organisme européen EUROSTAT, de l’European Network of Transmission System Operators for Electricity ENTSOE, de l’Agence Internationale de l’Energie et du CEA – Memento sur l’énergie, a été établi un bilan des énergies pour l’Allemagne en 2015 :</w:t>
      </w:r>
    </w:p>
    <w:p>
      <w:pPr>
        <w:pStyle w:val="Normal"/>
        <w:numPr>
          <w:ilvl w:val="0"/>
          <w:numId w:val="1"/>
        </w:numPr>
        <w:spacing w:before="0" w:after="200"/>
        <w:contextualSpacing/>
        <w:jc w:val="both"/>
        <w:rPr>
          <w:rFonts w:cs="Arial" w:ascii="Arial" w:hAnsi="Arial"/>
        </w:rPr>
      </w:pPr>
      <w:r>
        <w:rPr>
          <w:rFonts w:cs="Arial" w:ascii="Arial" w:hAnsi="Arial"/>
        </w:rPr>
        <w:t>Energies primaires consommées, produites et importées : voir tableau 1.</w:t>
      </w:r>
    </w:p>
    <w:p>
      <w:pPr>
        <w:pStyle w:val="Normal"/>
        <w:numPr>
          <w:ilvl w:val="0"/>
          <w:numId w:val="1"/>
        </w:numPr>
        <w:spacing w:before="0" w:after="200"/>
        <w:contextualSpacing/>
        <w:jc w:val="both"/>
        <w:rPr>
          <w:rFonts w:cs="Arial" w:ascii="Arial" w:hAnsi="Arial"/>
        </w:rPr>
      </w:pPr>
      <w:r>
        <w:rPr>
          <w:rFonts w:cs="Arial" w:ascii="Arial" w:hAnsi="Arial"/>
        </w:rPr>
        <w:t>Détail des énergies primaires renouvelables : voir tableau 2.</w:t>
      </w:r>
    </w:p>
    <w:p>
      <w:pPr>
        <w:pStyle w:val="Normal"/>
        <w:numPr>
          <w:ilvl w:val="0"/>
          <w:numId w:val="1"/>
        </w:numPr>
        <w:spacing w:before="0" w:after="200"/>
        <w:contextualSpacing/>
        <w:jc w:val="both"/>
        <w:rPr>
          <w:rFonts w:cs="Arial" w:ascii="Arial" w:hAnsi="Arial"/>
        </w:rPr>
      </w:pPr>
      <w:r>
        <w:rPr>
          <w:rFonts w:cs="Arial" w:ascii="Arial" w:hAnsi="Arial"/>
        </w:rPr>
        <w:t>Energies finales utilisées : voir tableau 3.</w:t>
      </w:r>
    </w:p>
    <w:p>
      <w:pPr>
        <w:pStyle w:val="Normal"/>
        <w:numPr>
          <w:ilvl w:val="1"/>
          <w:numId w:val="1"/>
        </w:numPr>
        <w:spacing w:before="0" w:after="200"/>
        <w:contextualSpacing/>
        <w:jc w:val="both"/>
        <w:rPr>
          <w:rFonts w:cs="Arial" w:ascii="Arial" w:hAnsi="Arial"/>
        </w:rPr>
      </w:pPr>
      <w:r>
        <w:rPr>
          <w:rFonts w:cs="Arial" w:ascii="Arial" w:hAnsi="Arial"/>
        </w:rPr>
        <w:t>Parts des diverses énergies primaires,</w:t>
      </w:r>
    </w:p>
    <w:p>
      <w:pPr>
        <w:pStyle w:val="Normal"/>
        <w:numPr>
          <w:ilvl w:val="1"/>
          <w:numId w:val="1"/>
        </w:numPr>
        <w:spacing w:before="0" w:after="200"/>
        <w:contextualSpacing/>
        <w:jc w:val="both"/>
        <w:rPr>
          <w:rFonts w:cs="Arial" w:ascii="Arial" w:hAnsi="Arial"/>
        </w:rPr>
      </w:pPr>
      <w:r>
        <w:rPr>
          <w:rFonts w:cs="Arial" w:ascii="Arial" w:hAnsi="Arial"/>
        </w:rPr>
        <w:t>Répartition par secteur d’utilisation.</w:t>
      </w:r>
    </w:p>
    <w:p>
      <w:pPr>
        <w:pStyle w:val="Normal"/>
        <w:numPr>
          <w:ilvl w:val="0"/>
          <w:numId w:val="1"/>
        </w:numPr>
        <w:spacing w:before="0" w:after="200"/>
        <w:contextualSpacing/>
        <w:jc w:val="both"/>
        <w:rPr>
          <w:rFonts w:cs="Arial" w:ascii="Arial" w:hAnsi="Arial"/>
        </w:rPr>
      </w:pPr>
      <w:r>
        <w:rPr>
          <w:rFonts w:cs="Arial" w:ascii="Arial" w:hAnsi="Arial"/>
        </w:rPr>
        <w:t>Electricité répartie par énergies primaires : voir tableau 4.</w:t>
      </w:r>
    </w:p>
    <w:p>
      <w:pPr>
        <w:pStyle w:val="Normal"/>
        <w:numPr>
          <w:ilvl w:val="1"/>
          <w:numId w:val="1"/>
        </w:numPr>
        <w:spacing w:before="0" w:after="200"/>
        <w:contextualSpacing/>
        <w:jc w:val="both"/>
        <w:rPr>
          <w:rFonts w:cs="Arial" w:ascii="Arial" w:hAnsi="Arial"/>
        </w:rPr>
      </w:pPr>
      <w:r>
        <w:rPr>
          <w:rFonts w:cs="Arial" w:ascii="Arial" w:hAnsi="Arial"/>
        </w:rPr>
        <w:t>Puissance installée, en MW,</w:t>
      </w:r>
    </w:p>
    <w:p>
      <w:pPr>
        <w:pStyle w:val="Normal"/>
        <w:numPr>
          <w:ilvl w:val="1"/>
          <w:numId w:val="1"/>
        </w:numPr>
        <w:spacing w:before="0" w:after="200"/>
        <w:contextualSpacing/>
        <w:jc w:val="both"/>
        <w:rPr>
          <w:rFonts w:cs="Arial" w:ascii="Arial" w:hAnsi="Arial"/>
        </w:rPr>
      </w:pPr>
      <w:r>
        <w:rPr>
          <w:rFonts w:cs="Arial" w:ascii="Arial" w:hAnsi="Arial"/>
        </w:rPr>
        <w:t>Production d’électricité, en TWh.</w:t>
      </w:r>
    </w:p>
    <w:p>
      <w:pPr>
        <w:pStyle w:val="Normal"/>
        <w:jc w:val="both"/>
        <w:rPr>
          <w:rFonts w:cs="Arial" w:ascii="Arial" w:hAnsi="Arial"/>
        </w:rPr>
      </w:pPr>
      <w:r>
        <w:rPr>
          <w:rFonts w:cs="Arial" w:ascii="Arial" w:hAnsi="Arial"/>
        </w:rPr>
        <w:t>Quelques ordres de grandeur – L’Allemagne :</w:t>
      </w:r>
    </w:p>
    <w:p>
      <w:pPr>
        <w:pStyle w:val="Normal"/>
        <w:numPr>
          <w:ilvl w:val="0"/>
          <w:numId w:val="1"/>
        </w:numPr>
        <w:spacing w:before="0" w:after="200"/>
        <w:contextualSpacing/>
        <w:jc w:val="both"/>
        <w:rPr>
          <w:rFonts w:cs="Arial" w:ascii="Arial" w:hAnsi="Arial"/>
        </w:rPr>
      </w:pPr>
      <w:r>
        <w:rPr>
          <w:rFonts w:cs="Arial" w:ascii="Arial" w:hAnsi="Arial"/>
        </w:rPr>
        <w:t>compte environ 82,1 millions d’habitants ; l’Europe 510 millions.</w:t>
      </w:r>
    </w:p>
    <w:p>
      <w:pPr>
        <w:pStyle w:val="Normal"/>
        <w:numPr>
          <w:ilvl w:val="0"/>
          <w:numId w:val="1"/>
        </w:numPr>
        <w:spacing w:before="0" w:after="200"/>
        <w:contextualSpacing/>
        <w:jc w:val="both"/>
        <w:rPr>
          <w:rFonts w:cs="Arial" w:ascii="Arial" w:hAnsi="Arial"/>
        </w:rPr>
      </w:pPr>
      <w:r>
        <w:rPr>
          <w:rFonts w:cs="Arial" w:ascii="Arial" w:hAnsi="Arial"/>
        </w:rPr>
        <w:t>est le 1</w:t>
      </w:r>
      <w:r>
        <w:rPr>
          <w:rFonts w:cs="Arial" w:ascii="Arial" w:hAnsi="Arial"/>
          <w:vertAlign w:val="superscript"/>
        </w:rPr>
        <w:t>er</w:t>
      </w:r>
      <w:r>
        <w:rPr>
          <w:rFonts w:cs="Arial" w:ascii="Arial" w:hAnsi="Arial"/>
        </w:rPr>
        <w:t xml:space="preserve"> pays consommateur d’énergie primaire d’Europe avec environ 3,85 tep par habitant et un total de 316,7 Mtep, devant la France (3,86 tep/hbt et 257,1 Mtep) ; pour l’Europe entière : 3,19 tep/hbt et 1626 Mtep. L’Allemagne est aussi le 6</w:t>
      </w:r>
      <w:r>
        <w:rPr>
          <w:rFonts w:cs="Arial" w:ascii="Arial" w:hAnsi="Arial"/>
          <w:vertAlign w:val="superscript"/>
        </w:rPr>
        <w:t>ème</w:t>
      </w:r>
      <w:r>
        <w:rPr>
          <w:rFonts w:cs="Arial" w:ascii="Arial" w:hAnsi="Arial"/>
        </w:rPr>
        <w:t xml:space="preserve"> consommateur mondial d’énergie primaire après la Chine, les Etats Unis, l’Inde, la Russie et le Japon.</w:t>
      </w:r>
    </w:p>
    <w:p>
      <w:pPr>
        <w:pStyle w:val="Normal"/>
        <w:numPr>
          <w:ilvl w:val="0"/>
          <w:numId w:val="1"/>
        </w:numPr>
        <w:spacing w:before="0" w:after="200"/>
        <w:contextualSpacing/>
        <w:jc w:val="both"/>
        <w:rPr>
          <w:rFonts w:cs="Arial" w:ascii="Arial" w:hAnsi="Arial"/>
        </w:rPr>
      </w:pPr>
      <w:r>
        <w:rPr>
          <w:rFonts w:cs="Arial" w:ascii="Arial" w:hAnsi="Arial"/>
        </w:rPr>
        <w:t>est le 1</w:t>
      </w:r>
      <w:r>
        <w:rPr>
          <w:rFonts w:cs="Arial" w:ascii="Arial" w:hAnsi="Arial"/>
          <w:vertAlign w:val="superscript"/>
        </w:rPr>
        <w:t>er</w:t>
      </w:r>
      <w:r>
        <w:rPr>
          <w:rFonts w:cs="Arial" w:ascii="Arial" w:hAnsi="Arial"/>
        </w:rPr>
        <w:t xml:space="preserve"> pays émetteur de gaz à effet de serre d’Europe avec environ 11,4 t de CO</w:t>
      </w:r>
      <w:r>
        <w:rPr>
          <w:rFonts w:cs="Arial" w:ascii="Arial" w:hAnsi="Arial"/>
          <w:vertAlign w:val="subscript"/>
        </w:rPr>
        <w:t>2</w:t>
      </w:r>
      <w:r>
        <w:rPr>
          <w:rFonts w:cs="Arial" w:ascii="Arial" w:hAnsi="Arial"/>
        </w:rPr>
        <w:t xml:space="preserve"> par habitant et par an et un total de 940 Mt de CO</w:t>
      </w:r>
      <w:r>
        <w:rPr>
          <w:rFonts w:cs="Arial" w:ascii="Arial" w:hAnsi="Arial"/>
          <w:vertAlign w:val="subscript"/>
        </w:rPr>
        <w:t>2</w:t>
      </w:r>
      <w:r>
        <w:rPr>
          <w:rFonts w:cs="Arial" w:ascii="Arial" w:hAnsi="Arial"/>
        </w:rPr>
        <w:t xml:space="preserve"> par an, devant la Grande Bretagne (8,6 t de CO</w:t>
      </w:r>
      <w:r>
        <w:rPr>
          <w:rFonts w:cs="Arial" w:ascii="Arial" w:hAnsi="Arial"/>
          <w:vertAlign w:val="subscript"/>
        </w:rPr>
        <w:t>2</w:t>
      </w:r>
      <w:r>
        <w:rPr>
          <w:rFonts w:cs="Arial" w:ascii="Arial" w:hAnsi="Arial"/>
        </w:rPr>
        <w:t>/ hbt et un total de 553 Mt de CO</w:t>
      </w:r>
      <w:r>
        <w:rPr>
          <w:rFonts w:cs="Arial" w:ascii="Arial" w:hAnsi="Arial"/>
          <w:vertAlign w:val="subscript"/>
        </w:rPr>
        <w:t>2</w:t>
      </w:r>
      <w:r>
        <w:rPr>
          <w:rFonts w:cs="Arial" w:ascii="Arial" w:hAnsi="Arial"/>
        </w:rPr>
        <w:t>) et la France (7,2 t de CO</w:t>
      </w:r>
      <w:r>
        <w:rPr>
          <w:rFonts w:cs="Arial" w:ascii="Arial" w:hAnsi="Arial"/>
          <w:vertAlign w:val="subscript"/>
        </w:rPr>
        <w:t xml:space="preserve">2 </w:t>
      </w:r>
      <w:r>
        <w:rPr>
          <w:rFonts w:cs="Arial" w:ascii="Arial" w:hAnsi="Arial"/>
        </w:rPr>
        <w:t>/ hbt et un total de 480 Mt de CO</w:t>
      </w:r>
      <w:r>
        <w:rPr>
          <w:rFonts w:cs="Arial" w:ascii="Arial" w:hAnsi="Arial"/>
          <w:vertAlign w:val="subscript"/>
        </w:rPr>
        <w:t>2</w:t>
      </w:r>
      <w:r>
        <w:rPr>
          <w:rFonts w:cs="Arial" w:ascii="Arial" w:hAnsi="Arial"/>
        </w:rPr>
        <w:t>) ; pour l’Europe entière : 8,7 t de CO</w:t>
      </w:r>
      <w:r>
        <w:rPr>
          <w:rFonts w:cs="Arial" w:ascii="Arial" w:hAnsi="Arial"/>
          <w:vertAlign w:val="subscript"/>
        </w:rPr>
        <w:t>2</w:t>
      </w:r>
      <w:r>
        <w:rPr>
          <w:rFonts w:cs="Arial" w:ascii="Arial" w:hAnsi="Arial"/>
        </w:rPr>
        <w:t>/ hbt et un total 4447 Mt de CO</w:t>
      </w:r>
      <w:r>
        <w:rPr>
          <w:rFonts w:cs="Arial" w:ascii="Arial" w:hAnsi="Arial"/>
          <w:vertAlign w:val="subscript"/>
        </w:rPr>
        <w:t>2</w:t>
      </w:r>
      <w:r>
        <w:rPr>
          <w:rFonts w:cs="Arial" w:ascii="Arial" w:hAnsi="Arial"/>
        </w:rPr>
        <w:t>.</w:t>
      </w:r>
    </w:p>
    <w:p>
      <w:pPr>
        <w:pStyle w:val="Normal"/>
        <w:numPr>
          <w:ilvl w:val="0"/>
          <w:numId w:val="1"/>
        </w:numPr>
        <w:spacing w:before="0" w:after="200"/>
        <w:contextualSpacing/>
        <w:jc w:val="both"/>
        <w:rPr>
          <w:rFonts w:cs="Arial" w:ascii="Arial" w:hAnsi="Arial"/>
        </w:rPr>
      </w:pPr>
      <w:r>
        <w:rPr>
          <w:rFonts w:cs="Arial" w:ascii="Arial" w:hAnsi="Arial"/>
        </w:rPr>
        <w:t>émet : 560 g de CO</w:t>
      </w:r>
      <w:r>
        <w:rPr>
          <w:rFonts w:cs="Arial" w:ascii="Arial" w:hAnsi="Arial"/>
          <w:vertAlign w:val="subscript"/>
        </w:rPr>
        <w:t xml:space="preserve">2 </w:t>
      </w:r>
      <w:r>
        <w:rPr>
          <w:rFonts w:cs="Arial" w:ascii="Arial" w:hAnsi="Arial"/>
        </w:rPr>
        <w:t>par kWh d’électricité produit, ,</w:t>
      </w:r>
    </w:p>
    <w:p>
      <w:pPr>
        <w:pStyle w:val="Normal"/>
        <w:numPr>
          <w:ilvl w:val="1"/>
          <w:numId w:val="1"/>
        </w:numPr>
        <w:spacing w:before="0" w:after="200"/>
        <w:contextualSpacing/>
        <w:jc w:val="both"/>
        <w:rPr>
          <w:rFonts w:cs="Arial" w:ascii="Arial" w:hAnsi="Arial"/>
        </w:rPr>
      </w:pPr>
      <w:r>
        <w:rPr>
          <w:rFonts w:cs="Arial" w:ascii="Arial" w:hAnsi="Arial"/>
        </w:rPr>
        <w:t>la France : 72 g de CO</w:t>
      </w:r>
      <w:r>
        <w:rPr>
          <w:rFonts w:cs="Arial" w:ascii="Arial" w:hAnsi="Arial"/>
          <w:vertAlign w:val="subscript"/>
        </w:rPr>
        <w:t>2</w:t>
      </w:r>
      <w:r>
        <w:rPr>
          <w:rFonts w:cs="Arial" w:ascii="Arial" w:hAnsi="Arial"/>
        </w:rPr>
        <w:t>,</w:t>
      </w:r>
    </w:p>
    <w:p>
      <w:pPr>
        <w:pStyle w:val="Normal"/>
        <w:numPr>
          <w:ilvl w:val="1"/>
          <w:numId w:val="1"/>
        </w:numPr>
        <w:spacing w:before="0" w:after="200"/>
        <w:contextualSpacing/>
        <w:jc w:val="both"/>
        <w:rPr>
          <w:rFonts w:cs="Arial" w:ascii="Arial" w:hAnsi="Arial"/>
        </w:rPr>
      </w:pPr>
      <w:r>
        <w:rPr>
          <w:rFonts w:cs="Arial" w:ascii="Arial" w:hAnsi="Arial"/>
        </w:rPr>
        <w:t>l’Europe entière : 390 g de CO</w:t>
      </w:r>
      <w:r>
        <w:rPr>
          <w:rFonts w:cs="Arial" w:ascii="Arial" w:hAnsi="Arial"/>
          <w:vertAlign w:val="subscript"/>
        </w:rPr>
        <w:t>2</w:t>
      </w:r>
      <w:r>
        <w:rPr>
          <w:rFonts w:cs="Arial" w:ascii="Arial" w:hAnsi="Arial"/>
        </w:rPr>
        <w:t>.</w:t>
      </w:r>
    </w:p>
    <w:p>
      <w:pPr>
        <w:pStyle w:val="Normal"/>
        <w:spacing w:before="0" w:after="200"/>
        <w:contextualSpacing/>
        <w:jc w:val="both"/>
        <w:rPr>
          <w:rFonts w:cs="Arial" w:ascii="Arial" w:hAnsi="Arial"/>
        </w:rPr>
      </w:pPr>
      <w:r>
        <w:rPr>
          <w:rFonts w:cs="Arial" w:ascii="Arial" w:hAnsi="Arial"/>
        </w:rPr>
      </w:r>
    </w:p>
    <w:p>
      <w:pPr>
        <w:pStyle w:val="Normal"/>
        <w:spacing w:before="0" w:after="0"/>
        <w:jc w:val="both"/>
        <w:rPr>
          <w:rFonts w:cs="Arial" w:ascii="Arial" w:hAnsi="Arial"/>
        </w:rPr>
      </w:pPr>
      <w:r>
        <w:rPr>
          <w:rFonts w:cs="Arial" w:ascii="Arial" w:hAnsi="Arial"/>
        </w:rPr>
      </w:r>
      <w:r>
        <w:pict>
          <v:rect fillcolor="#FFFFFF" strokecolor="#000000" strokeweight="0pt" style="position:absolute;width:418.4pt;height:176.6pt;mso-wrap-distance-left:9pt;mso-wrap-distance-right:9pt;mso-wrap-distance-top:0pt;mso-wrap-distance-bottom:0pt;margin-top:0pt;margin-left:52.45pt">
            <v:textbox>
              <w:txbxContent>
                <w:p>
                  <w:pPr>
                    <w:pStyle w:val="Contenudecadre"/>
                    <w:spacing w:before="0" w:after="0"/>
                    <w:rPr>
                      <w:rFonts w:cs="Arial" w:ascii="Arial" w:hAnsi="Arial"/>
                      <w:i/>
                      <w:sz w:val="18"/>
                      <w:szCs w:val="18"/>
                    </w:rPr>
                  </w:pPr>
                  <w:r>
                    <w:rPr>
                      <w:rFonts w:cs="Arial" w:ascii="Arial" w:hAnsi="Arial"/>
                      <w:i/>
                      <w:sz w:val="18"/>
                      <w:szCs w:val="18"/>
                    </w:rPr>
                    <w:t>Rappel sur les unités de mesure :</w:t>
                  </w:r>
                </w:p>
                <w:p>
                  <w:pPr>
                    <w:pStyle w:val="Contenudecadre"/>
                    <w:spacing w:before="0" w:after="0"/>
                    <w:rPr>
                      <w:rFonts w:cs="Arial" w:ascii="Arial" w:hAnsi="Arial"/>
                      <w:i/>
                      <w:sz w:val="18"/>
                      <w:szCs w:val="18"/>
                    </w:rPr>
                  </w:pPr>
                  <w:r>
                    <w:rPr>
                      <w:rFonts w:cs="Arial" w:ascii="Arial" w:hAnsi="Arial"/>
                      <w:i/>
                      <w:sz w:val="18"/>
                      <w:szCs w:val="18"/>
                    </w:rPr>
                    <w:t>Dans le système international de mesures MKS (mètre, kilogramme masse, seconde) :</w:t>
                  </w:r>
                </w:p>
                <w:p>
                  <w:pPr>
                    <w:pStyle w:val="ListParagraph"/>
                    <w:numPr>
                      <w:ilvl w:val="0"/>
                      <w:numId w:val="2"/>
                    </w:numPr>
                    <w:spacing w:before="0" w:after="0"/>
                    <w:contextualSpacing/>
                    <w:rPr>
                      <w:rFonts w:cs="Arial" w:ascii="Arial" w:hAnsi="Arial"/>
                      <w:i/>
                      <w:sz w:val="18"/>
                      <w:szCs w:val="18"/>
                    </w:rPr>
                  </w:pPr>
                  <w:r>
                    <w:rPr>
                      <w:rFonts w:cs="Arial" w:ascii="Arial" w:hAnsi="Arial"/>
                      <w:i/>
                      <w:sz w:val="18"/>
                      <w:szCs w:val="18"/>
                    </w:rPr>
                    <w:t>Unité de force = 1 N (Newton) = 1 kg masse x 1m/s</w:t>
                  </w:r>
                  <w:r>
                    <w:rPr>
                      <w:rFonts w:cs="Arial" w:ascii="Arial" w:hAnsi="Arial"/>
                      <w:i/>
                      <w:sz w:val="18"/>
                      <w:szCs w:val="18"/>
                      <w:vertAlign w:val="superscript"/>
                    </w:rPr>
                    <w:t>2</w:t>
                  </w:r>
                  <w:r>
                    <w:rPr>
                      <w:rFonts w:cs="Arial" w:ascii="Arial" w:hAnsi="Arial"/>
                      <w:i/>
                      <w:sz w:val="18"/>
                      <w:szCs w:val="18"/>
                    </w:rPr>
                    <w:t>,</w:t>
                  </w:r>
                </w:p>
                <w:p>
                  <w:pPr>
                    <w:pStyle w:val="ListParagraph"/>
                    <w:numPr>
                      <w:ilvl w:val="0"/>
                      <w:numId w:val="2"/>
                    </w:numPr>
                    <w:spacing w:before="0" w:after="0"/>
                    <w:contextualSpacing/>
                    <w:rPr>
                      <w:rFonts w:cs="Arial" w:ascii="Arial" w:hAnsi="Arial"/>
                      <w:i/>
                      <w:sz w:val="18"/>
                      <w:szCs w:val="18"/>
                    </w:rPr>
                  </w:pPr>
                  <w:r>
                    <w:rPr>
                      <w:rFonts w:cs="Arial" w:ascii="Arial" w:hAnsi="Arial"/>
                      <w:i/>
                      <w:sz w:val="18"/>
                      <w:szCs w:val="18"/>
                    </w:rPr>
                    <w:t>Unité de travail (énergie) = 1 J (Joule) = 1 N x 1m,</w:t>
                  </w:r>
                </w:p>
                <w:p>
                  <w:pPr>
                    <w:pStyle w:val="ListParagraph"/>
                    <w:numPr>
                      <w:ilvl w:val="1"/>
                      <w:numId w:val="2"/>
                    </w:numPr>
                    <w:spacing w:before="0" w:after="0"/>
                    <w:contextualSpacing/>
                    <w:rPr>
                      <w:rFonts w:cs="Arial" w:ascii="Arial" w:hAnsi="Arial"/>
                      <w:i/>
                      <w:sz w:val="18"/>
                      <w:szCs w:val="18"/>
                      <w:lang w:val="en-US"/>
                    </w:rPr>
                  </w:pPr>
                  <w:r>
                    <w:rPr>
                      <w:rFonts w:cs="Arial" w:ascii="Arial" w:hAnsi="Arial"/>
                      <w:i/>
                      <w:sz w:val="18"/>
                      <w:szCs w:val="18"/>
                      <w:lang w:val="en-US"/>
                    </w:rPr>
                    <w:t>Unités courantes : 1 Wh = (1 J / 1 s) x 3600 s = 3600 J</w:t>
                  </w:r>
                </w:p>
                <w:p>
                  <w:pPr>
                    <w:pStyle w:val="ListParagraph"/>
                    <w:numPr>
                      <w:ilvl w:val="1"/>
                      <w:numId w:val="2"/>
                    </w:numPr>
                    <w:spacing w:before="0" w:after="0"/>
                    <w:contextualSpacing/>
                    <w:rPr>
                      <w:rFonts w:cs="Arial" w:ascii="Arial" w:hAnsi="Arial"/>
                      <w:i/>
                      <w:sz w:val="18"/>
                      <w:szCs w:val="18"/>
                      <w:lang w:val="en-US"/>
                    </w:rPr>
                  </w:pPr>
                  <w:r>
                    <w:rPr>
                      <w:rFonts w:cs="Arial" w:ascii="Arial" w:hAnsi="Arial"/>
                      <w:i/>
                      <w:sz w:val="18"/>
                      <w:szCs w:val="18"/>
                      <w:lang w:val="en-US"/>
                    </w:rPr>
                    <w:t>1 kWh = 3 600 000 J</w:t>
                  </w:r>
                </w:p>
                <w:p>
                  <w:pPr>
                    <w:pStyle w:val="ListParagraph"/>
                    <w:numPr>
                      <w:ilvl w:val="1"/>
                      <w:numId w:val="2"/>
                    </w:numPr>
                    <w:spacing w:before="0" w:after="0"/>
                    <w:contextualSpacing/>
                    <w:rPr>
                      <w:rFonts w:cs="Arial" w:ascii="Arial" w:hAnsi="Arial"/>
                      <w:i/>
                      <w:sz w:val="18"/>
                      <w:szCs w:val="18"/>
                      <w:lang w:val="en-US"/>
                    </w:rPr>
                  </w:pPr>
                  <w:r>
                    <w:rPr>
                      <w:rFonts w:cs="Arial" w:ascii="Arial" w:hAnsi="Arial"/>
                      <w:i/>
                      <w:sz w:val="18"/>
                      <w:szCs w:val="18"/>
                      <w:lang w:val="en-US"/>
                    </w:rPr>
                    <w:t>1 MWh = 1000 kWh / 1 TWh (térawattheure) = 1 000 000 MWh</w:t>
                  </w:r>
                </w:p>
                <w:p>
                  <w:pPr>
                    <w:pStyle w:val="ListParagraph"/>
                    <w:numPr>
                      <w:ilvl w:val="1"/>
                      <w:numId w:val="2"/>
                    </w:numPr>
                    <w:spacing w:before="0" w:after="0"/>
                    <w:contextualSpacing/>
                    <w:rPr>
                      <w:rFonts w:cs="Arial" w:ascii="Arial" w:hAnsi="Arial"/>
                      <w:i/>
                      <w:sz w:val="18"/>
                      <w:szCs w:val="18"/>
                    </w:rPr>
                  </w:pPr>
                  <w:r>
                    <w:rPr>
                      <w:rFonts w:cs="Arial" w:ascii="Arial" w:hAnsi="Arial"/>
                      <w:i/>
                      <w:sz w:val="18"/>
                      <w:szCs w:val="18"/>
                    </w:rPr>
                    <w:t>1 tep (tonne équivalent pétrole) = 42 GJ (gigajoule) = 11,66 MWh (mégawattheure)</w:t>
                  </w:r>
                </w:p>
                <w:p>
                  <w:pPr>
                    <w:pStyle w:val="ListParagraph"/>
                    <w:numPr>
                      <w:ilvl w:val="1"/>
                      <w:numId w:val="2"/>
                    </w:numPr>
                    <w:spacing w:before="0" w:after="0"/>
                    <w:contextualSpacing/>
                    <w:rPr>
                      <w:rFonts w:cs="Arial" w:ascii="Arial" w:hAnsi="Arial"/>
                      <w:i/>
                      <w:sz w:val="18"/>
                      <w:szCs w:val="18"/>
                    </w:rPr>
                  </w:pPr>
                  <w:r>
                    <w:rPr>
                      <w:rFonts w:cs="Arial" w:ascii="Arial" w:hAnsi="Arial"/>
                      <w:i/>
                      <w:sz w:val="18"/>
                      <w:szCs w:val="18"/>
                    </w:rPr>
                    <w:t>1 Mtep (million de tonnes équivalent pétrole) = 11,66 TWh = 42.10</w:t>
                  </w:r>
                  <w:r>
                    <w:rPr>
                      <w:rFonts w:cs="Arial" w:ascii="Arial" w:hAnsi="Arial"/>
                      <w:i/>
                      <w:sz w:val="18"/>
                      <w:szCs w:val="18"/>
                      <w:vertAlign w:val="superscript"/>
                    </w:rPr>
                    <w:t>6</w:t>
                  </w:r>
                  <w:r>
                    <w:rPr>
                      <w:rFonts w:cs="Arial" w:ascii="Arial" w:hAnsi="Arial"/>
                      <w:i/>
                      <w:sz w:val="18"/>
                      <w:szCs w:val="18"/>
                    </w:rPr>
                    <w:t xml:space="preserve"> GJ = 42 PJ</w:t>
                  </w:r>
                </w:p>
                <w:p>
                  <w:pPr>
                    <w:pStyle w:val="ListParagraph"/>
                    <w:numPr>
                      <w:ilvl w:val="1"/>
                      <w:numId w:val="2"/>
                    </w:numPr>
                    <w:spacing w:before="0" w:after="0"/>
                    <w:contextualSpacing/>
                    <w:rPr>
                      <w:rFonts w:cs="Arial" w:ascii="Arial" w:hAnsi="Arial"/>
                      <w:i/>
                      <w:sz w:val="18"/>
                      <w:szCs w:val="18"/>
                    </w:rPr>
                  </w:pPr>
                  <w:r>
                    <w:rPr>
                      <w:rFonts w:cs="Arial" w:ascii="Arial" w:hAnsi="Arial"/>
                      <w:i/>
                      <w:sz w:val="18"/>
                      <w:szCs w:val="18"/>
                    </w:rPr>
                    <w:t>1 tec (tonne équivalent charbon) = 0,697 tep</w:t>
                  </w:r>
                </w:p>
                <w:p>
                  <w:pPr>
                    <w:pStyle w:val="ListParagraph"/>
                    <w:numPr>
                      <w:ilvl w:val="1"/>
                      <w:numId w:val="2"/>
                    </w:numPr>
                    <w:spacing w:before="0" w:after="0"/>
                    <w:contextualSpacing/>
                    <w:rPr>
                      <w:rFonts w:cs="Arial" w:ascii="Arial" w:hAnsi="Arial"/>
                      <w:i/>
                      <w:sz w:val="18"/>
                      <w:szCs w:val="18"/>
                    </w:rPr>
                  </w:pPr>
                  <w:r>
                    <w:rPr>
                      <w:rFonts w:cs="Arial" w:ascii="Arial" w:hAnsi="Arial"/>
                      <w:i/>
                      <w:sz w:val="18"/>
                      <w:szCs w:val="18"/>
                    </w:rPr>
                    <w:t>1 PJ (pétajoule) = 0,27771 TWh = 0,0238 Mtep</w:t>
                  </w:r>
                </w:p>
                <w:p>
                  <w:pPr>
                    <w:pStyle w:val="ListParagraph"/>
                    <w:numPr>
                      <w:ilvl w:val="0"/>
                      <w:numId w:val="2"/>
                    </w:numPr>
                    <w:spacing w:before="0" w:after="0"/>
                    <w:contextualSpacing/>
                    <w:rPr>
                      <w:rFonts w:cs="Arial" w:ascii="Arial" w:hAnsi="Arial"/>
                      <w:i/>
                      <w:sz w:val="18"/>
                      <w:szCs w:val="18"/>
                      <w:vertAlign w:val="superscript"/>
                    </w:rPr>
                  </w:pPr>
                  <w:r>
                    <w:rPr>
                      <w:rFonts w:cs="Arial" w:ascii="Arial" w:hAnsi="Arial"/>
                      <w:i/>
                      <w:sz w:val="18"/>
                      <w:szCs w:val="18"/>
                    </w:rPr>
                    <w:t>Unité de puissance = 1 W = 1 J / 1 s = 1 N x 1 m / 1 s = 1 kg masse x (1m)</w:t>
                  </w:r>
                  <w:r>
                    <w:rPr>
                      <w:rFonts w:cs="Arial" w:ascii="Arial" w:hAnsi="Arial"/>
                      <w:i/>
                      <w:sz w:val="18"/>
                      <w:szCs w:val="18"/>
                      <w:vertAlign w:val="superscript"/>
                    </w:rPr>
                    <w:t>2</w:t>
                  </w:r>
                  <w:r>
                    <w:rPr>
                      <w:rFonts w:cs="Arial" w:ascii="Arial" w:hAnsi="Arial"/>
                      <w:i/>
                      <w:sz w:val="18"/>
                      <w:szCs w:val="18"/>
                    </w:rPr>
                    <w:t xml:space="preserve"> / s</w:t>
                  </w:r>
                  <w:r>
                    <w:rPr>
                      <w:rFonts w:cs="Arial" w:ascii="Arial" w:hAnsi="Arial"/>
                      <w:i/>
                      <w:sz w:val="18"/>
                      <w:szCs w:val="18"/>
                      <w:vertAlign w:val="superscript"/>
                    </w:rPr>
                    <w:t>3</w:t>
                  </w:r>
                </w:p>
                <w:p>
                  <w:pPr>
                    <w:pStyle w:val="ListParagraph"/>
                    <w:numPr>
                      <w:ilvl w:val="1"/>
                      <w:numId w:val="2"/>
                    </w:numPr>
                    <w:spacing w:before="0" w:after="0"/>
                    <w:contextualSpacing/>
                    <w:rPr>
                      <w:rFonts w:cs="Arial" w:ascii="Arial" w:hAnsi="Arial"/>
                      <w:i/>
                      <w:sz w:val="18"/>
                      <w:szCs w:val="18"/>
                      <w:lang w:val="en-US"/>
                    </w:rPr>
                  </w:pPr>
                  <w:r>
                    <w:rPr>
                      <w:rFonts w:cs="Arial" w:ascii="Arial" w:hAnsi="Arial"/>
                      <w:i/>
                      <w:sz w:val="18"/>
                      <w:szCs w:val="18"/>
                      <w:lang w:val="en-US"/>
                    </w:rPr>
                    <w:t>1 kW (kilowatt) = 1000 W – 1 MW (mégawatt) = 1 000 000 W</w:t>
                  </w:r>
                </w:p>
                <w:p>
                  <w:pPr>
                    <w:pStyle w:val="ListParagraph"/>
                    <w:numPr>
                      <w:ilvl w:val="1"/>
                      <w:numId w:val="2"/>
                    </w:numPr>
                    <w:spacing w:before="0" w:after="0"/>
                    <w:contextualSpacing/>
                    <w:rPr>
                      <w:rFonts w:cs="Arial" w:ascii="Arial" w:hAnsi="Arial"/>
                      <w:i/>
                      <w:sz w:val="18"/>
                      <w:szCs w:val="18"/>
                    </w:rPr>
                  </w:pPr>
                  <w:r>
                    <w:rPr>
                      <w:rFonts w:cs="Arial" w:ascii="Arial" w:hAnsi="Arial"/>
                      <w:i/>
                      <w:sz w:val="18"/>
                      <w:szCs w:val="18"/>
                    </w:rPr>
                    <w:t>1 ch (cheval vapeur) = 735,5 W</w:t>
                  </w:r>
                </w:p>
                <w:p>
                  <w:pPr>
                    <w:pStyle w:val="Contenudecadre"/>
                    <w:rPr/>
                  </w:pPr>
                  <w:r>
                    <w:rPr/>
                  </w:r>
                </w:p>
              </w:txbxContent>
            </v:textbox>
          </v:rect>
        </w:pict>
      </w:r>
    </w:p>
    <w:p>
      <w:pPr>
        <w:pStyle w:val="Normal"/>
        <w:spacing w:before="0" w:after="0"/>
        <w:jc w:val="both"/>
        <w:rPr>
          <w:rFonts w:cs="Arial" w:ascii="Arial" w:hAnsi="Arial"/>
          <w:i/>
        </w:rPr>
      </w:pPr>
      <w:r>
        <w:rPr>
          <w:rFonts w:cs="Arial" w:ascii="Arial" w:hAnsi="Arial"/>
          <w:i/>
        </w:rPr>
      </w:r>
    </w:p>
    <w:p>
      <w:pPr>
        <w:pStyle w:val="Normal"/>
        <w:spacing w:before="0" w:after="0"/>
        <w:jc w:val="both"/>
        <w:rPr>
          <w:rFonts w:cs="Arial" w:ascii="Arial" w:hAnsi="Arial"/>
          <w:i/>
        </w:rPr>
      </w:pPr>
      <w:r>
        <w:rPr>
          <w:rFonts w:cs="Arial" w:ascii="Arial" w:hAnsi="Arial"/>
          <w:i/>
        </w:rPr>
      </w:r>
    </w:p>
    <w:p>
      <w:pPr>
        <w:pStyle w:val="Normal"/>
        <w:spacing w:before="0" w:after="0"/>
        <w:jc w:val="both"/>
        <w:rPr>
          <w:rFonts w:cs="Arial" w:ascii="Arial" w:hAnsi="Arial"/>
          <w:i/>
        </w:rPr>
      </w:pPr>
      <w:r>
        <w:rPr>
          <w:rFonts w:cs="Arial" w:ascii="Arial" w:hAnsi="Arial"/>
          <w:i/>
        </w:rPr>
      </w:r>
    </w:p>
    <w:p>
      <w:pPr>
        <w:pStyle w:val="Normal"/>
        <w:spacing w:before="0" w:after="0"/>
        <w:jc w:val="both"/>
        <w:rPr>
          <w:rFonts w:cs="Arial" w:ascii="Arial" w:hAnsi="Arial"/>
          <w:i/>
        </w:rPr>
      </w:pPr>
      <w:r>
        <w:rPr>
          <w:rFonts w:cs="Arial" w:ascii="Arial" w:hAnsi="Arial"/>
          <w:i/>
        </w:rPr>
      </w:r>
    </w:p>
    <w:p>
      <w:pPr>
        <w:pStyle w:val="Normal"/>
        <w:spacing w:before="0" w:after="0"/>
        <w:jc w:val="both"/>
        <w:rPr>
          <w:rFonts w:cs="Arial" w:ascii="Arial" w:hAnsi="Arial"/>
          <w:i/>
        </w:rPr>
      </w:pPr>
      <w:r>
        <w:rPr>
          <w:rFonts w:cs="Arial" w:ascii="Arial" w:hAnsi="Arial"/>
          <w:i/>
        </w:rPr>
      </w:r>
    </w:p>
    <w:p>
      <w:pPr>
        <w:pStyle w:val="Normal"/>
        <w:spacing w:before="0" w:after="0"/>
        <w:jc w:val="both"/>
        <w:rPr>
          <w:rFonts w:cs="Arial" w:ascii="Arial" w:hAnsi="Arial"/>
          <w:i/>
        </w:rPr>
      </w:pPr>
      <w:r>
        <w:rPr>
          <w:rFonts w:cs="Arial" w:ascii="Arial" w:hAnsi="Arial"/>
          <w:i/>
        </w:rPr>
      </w:r>
    </w:p>
    <w:p>
      <w:pPr>
        <w:pStyle w:val="Normal"/>
        <w:spacing w:before="0" w:after="0"/>
        <w:jc w:val="both"/>
        <w:rPr>
          <w:rFonts w:cs="Arial" w:ascii="Arial" w:hAnsi="Arial"/>
          <w:i/>
        </w:rPr>
      </w:pPr>
      <w:r>
        <w:rPr>
          <w:rFonts w:cs="Arial" w:ascii="Arial" w:hAnsi="Arial"/>
          <w:i/>
        </w:rPr>
      </w:r>
    </w:p>
    <w:p>
      <w:pPr>
        <w:pStyle w:val="Normal"/>
        <w:spacing w:before="0" w:after="0"/>
        <w:jc w:val="both"/>
        <w:rPr>
          <w:rFonts w:cs="Arial" w:ascii="Arial" w:hAnsi="Arial"/>
          <w:i/>
        </w:rPr>
      </w:pPr>
      <w:r>
        <w:rPr>
          <w:rFonts w:cs="Arial" w:ascii="Arial" w:hAnsi="Arial"/>
          <w:i/>
        </w:rPr>
      </w:r>
    </w:p>
    <w:p>
      <w:pPr>
        <w:pStyle w:val="Normal"/>
        <w:spacing w:before="0" w:after="0"/>
        <w:jc w:val="both"/>
        <w:rPr>
          <w:rFonts w:cs="Arial" w:ascii="Arial" w:hAnsi="Arial"/>
          <w:i/>
        </w:rPr>
      </w:pPr>
      <w:r>
        <w:rPr>
          <w:rFonts w:cs="Arial" w:ascii="Arial" w:hAnsi="Arial"/>
          <w:i/>
        </w:rPr>
      </w:r>
    </w:p>
    <w:p>
      <w:pPr>
        <w:pStyle w:val="Normal"/>
        <w:rPr/>
      </w:pPr>
      <w:r>
        <w:rPr/>
      </w:r>
    </w:p>
    <w:p>
      <w:pPr>
        <w:pStyle w:val="Normal"/>
        <w:rPr/>
      </w:pPr>
      <w:r>
        <w:rPr/>
      </w:r>
    </w:p>
    <w:tbl>
      <w:tblPr>
        <w:jc w:val="left"/>
        <w:tblInd w:w="70" w:type="dxa"/>
        <w:tblBorders>
          <w:top w:val="nil"/>
          <w:left w:val="nil"/>
          <w:bottom w:val="nil"/>
          <w:insideH w:val="nil"/>
          <w:right w:val="nil"/>
          <w:insideV w:val="nil"/>
        </w:tblBorders>
        <w:tblCellMar>
          <w:top w:w="0" w:type="dxa"/>
          <w:left w:w="70" w:type="dxa"/>
          <w:bottom w:w="0" w:type="dxa"/>
          <w:right w:w="70" w:type="dxa"/>
        </w:tblCellMar>
      </w:tblPr>
      <w:tblGrid>
        <w:gridCol w:w="2204"/>
        <w:gridCol w:w="1257"/>
        <w:gridCol w:w="1004"/>
        <w:gridCol w:w="1312"/>
        <w:gridCol w:w="1004"/>
        <w:gridCol w:w="3"/>
        <w:gridCol w:w="1208"/>
        <w:gridCol w:w="3"/>
        <w:gridCol w:w="1"/>
        <w:gridCol w:w="1211"/>
      </w:tblGrid>
      <w:tr>
        <w:trPr>
          <w:trHeight w:val="360" w:hRule="atLeast"/>
          <w:cantSplit w:val="false"/>
        </w:trPr>
        <w:tc>
          <w:tcPr>
            <w:tcW w:w="6784" w:type="dxa"/>
            <w:gridSpan w:val="6"/>
            <w:tcBorders>
              <w:top w:val="nil"/>
              <w:left w:val="nil"/>
              <w:bottom w:val="nil"/>
              <w:insideH w:val="nil"/>
              <w:right w:val="nil"/>
              <w:insideV w:val="nil"/>
            </w:tcBorders>
            <w:shd w:fill="FFFFFF" w:val="clear"/>
            <w:vAlign w:val="bottom"/>
          </w:tcPr>
          <w:p>
            <w:pPr>
              <w:pStyle w:val="Normal"/>
              <w:pageBreakBefore/>
              <w:spacing w:lineRule="auto" w:line="240" w:before="0" w:after="0"/>
              <w:rPr>
                <w:rFonts w:eastAsia="Times New Roman" w:cs="Arial" w:ascii="Arial" w:hAnsi="Arial"/>
                <w:b/>
                <w:bCs/>
                <w:color w:val="000000"/>
                <w:sz w:val="28"/>
                <w:szCs w:val="28"/>
                <w:lang w:eastAsia="fr-FR"/>
              </w:rPr>
            </w:pPr>
            <w:r>
              <w:rPr>
                <w:rFonts w:eastAsia="Times New Roman" w:cs="Arial" w:ascii="Arial" w:hAnsi="Arial"/>
                <w:b/>
                <w:bCs/>
                <w:color w:val="000000"/>
                <w:sz w:val="28"/>
                <w:szCs w:val="28"/>
                <w:lang w:eastAsia="fr-FR"/>
              </w:rPr>
              <w:t>Tableau 1 : Allemagne 2015 - Energies primaires</w:t>
            </w:r>
          </w:p>
        </w:tc>
        <w:tc>
          <w:tcPr>
            <w:tcW w:w="121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2"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75" w:hRule="atLeast"/>
          <w:cantSplit w:val="false"/>
        </w:trPr>
        <w:tc>
          <w:tcPr>
            <w:tcW w:w="22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Arial" w:ascii="Arial" w:hAnsi="Arial"/>
                <w:b/>
                <w:bCs/>
                <w:color w:val="000000"/>
                <w:sz w:val="28"/>
                <w:szCs w:val="28"/>
                <w:lang w:eastAsia="fr-FR"/>
              </w:rPr>
            </w:pPr>
            <w:r>
              <w:rPr>
                <w:rFonts w:eastAsia="Times New Roman" w:cs="Arial" w:ascii="Arial" w:hAnsi="Arial"/>
                <w:b/>
                <w:bCs/>
                <w:color w:val="000000"/>
                <w:sz w:val="28"/>
                <w:szCs w:val="28"/>
                <w:lang w:eastAsia="fr-FR"/>
              </w:rPr>
            </w:r>
          </w:p>
        </w:tc>
        <w:tc>
          <w:tcPr>
            <w:tcW w:w="125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jc w:val="right"/>
              <w:rPr>
                <w:rFonts w:eastAsia="Times New Roman" w:cs="Times New Roman"/>
                <w:color w:val="000000"/>
                <w:lang w:eastAsia="fr-FR"/>
              </w:rPr>
            </w:pPr>
            <w:r>
              <w:rPr>
                <w:rFonts w:eastAsia="Times New Roman" w:cs="Times New Roman"/>
                <w:color w:val="000000"/>
                <w:lang w:eastAsia="fr-FR"/>
              </w:rPr>
            </w:r>
          </w:p>
        </w:tc>
        <w:tc>
          <w:tcPr>
            <w:tcW w:w="131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5"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04" w:type="dxa"/>
            <w:tcBorders>
              <w:top w:val="single" w:sz="8" w:space="0" w:color="00000A"/>
              <w:left w:val="single" w:sz="8" w:space="0" w:color="00000A"/>
              <w:bottom w:val="nil"/>
              <w:insideH w:val="nil"/>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Energie primaire</w:t>
            </w:r>
          </w:p>
        </w:tc>
        <w:tc>
          <w:tcPr>
            <w:tcW w:w="1257" w:type="dxa"/>
            <w:tcBorders>
              <w:top w:val="single" w:sz="8" w:space="0" w:color="00000A"/>
              <w:left w:val="nil"/>
              <w:bottom w:val="nil"/>
              <w:insideH w:val="nil"/>
              <w:right w:val="nil"/>
              <w:insideV w:val="nil"/>
            </w:tcBorders>
            <w:shd w:fill="FFFFFF" w:val="cle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Production </w:t>
            </w:r>
          </w:p>
        </w:tc>
        <w:tc>
          <w:tcPr>
            <w:tcW w:w="1004" w:type="dxa"/>
            <w:tcBorders>
              <w:top w:val="single" w:sz="8" w:space="0" w:color="00000A"/>
              <w:left w:val="nil"/>
              <w:bottom w:val="nil"/>
              <w:insideH w:val="nil"/>
              <w:right w:val="nil"/>
              <w:insideV w:val="nil"/>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 </w:t>
            </w:r>
          </w:p>
        </w:tc>
        <w:tc>
          <w:tcPr>
            <w:tcW w:w="1312" w:type="dxa"/>
            <w:tcBorders>
              <w:top w:val="single" w:sz="8" w:space="0" w:color="00000A"/>
              <w:left w:val="single" w:sz="4" w:space="0" w:color="00000A"/>
              <w:bottom w:val="nil"/>
              <w:insideH w:val="nil"/>
              <w:right w:val="nil"/>
              <w:insideV w:val="nil"/>
            </w:tcBorders>
            <w:shd w:fill="FFFFFF" w:val="clear"/>
            <w:tcMar>
              <w:left w:w="65"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Importation </w:t>
            </w:r>
          </w:p>
        </w:tc>
        <w:tc>
          <w:tcPr>
            <w:tcW w:w="1004" w:type="dxa"/>
            <w:tcBorders>
              <w:top w:val="single" w:sz="8" w:space="0" w:color="00000A"/>
              <w:left w:val="nil"/>
              <w:bottom w:val="nil"/>
              <w:insideH w:val="nil"/>
              <w:right w:val="single" w:sz="4" w:space="0" w:color="00000A"/>
              <w:insideV w:val="single" w:sz="4" w:space="0" w:color="00000A"/>
            </w:tcBorders>
            <w:shd w:fill="FFFFFF" w:val="cle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w:t>
            </w:r>
          </w:p>
        </w:tc>
        <w:tc>
          <w:tcPr>
            <w:tcW w:w="1211" w:type="dxa"/>
            <w:gridSpan w:val="2"/>
            <w:tcBorders>
              <w:top w:val="single" w:sz="8" w:space="0" w:color="00000A"/>
              <w:left w:val="nil"/>
              <w:bottom w:val="nil"/>
              <w:insideH w:val="nil"/>
              <w:right w:val="nil"/>
              <w:insideV w:val="nil"/>
            </w:tcBorders>
            <w:shd w:fill="FFFFFF" w:val="cle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Total </w:t>
            </w:r>
          </w:p>
        </w:tc>
        <w:tc>
          <w:tcPr>
            <w:tcW w:w="1215" w:type="dxa"/>
            <w:gridSpan w:val="3"/>
            <w:tcBorders>
              <w:top w:val="single" w:sz="8" w:space="0" w:color="00000A"/>
              <w:left w:val="nil"/>
              <w:bottom w:val="nil"/>
              <w:insideH w:val="nil"/>
              <w:right w:val="single" w:sz="8" w:space="0" w:color="00000A"/>
              <w:insideV w:val="single" w:sz="8" w:space="0" w:color="00000A"/>
            </w:tcBorders>
            <w:shd w:fill="FFFFFF" w:val="cle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w:t>
            </w:r>
          </w:p>
        </w:tc>
      </w:tr>
      <w:tr>
        <w:trPr>
          <w:trHeight w:val="315" w:hRule="atLeast"/>
          <w:cantSplit w:val="false"/>
        </w:trPr>
        <w:tc>
          <w:tcPr>
            <w:tcW w:w="2204" w:type="dxa"/>
            <w:tcBorders>
              <w:top w:val="nil"/>
              <w:left w:val="single" w:sz="8" w:space="0" w:color="00000A"/>
              <w:bottom w:val="single" w:sz="8" w:space="0" w:color="00000A"/>
              <w:insideH w:val="single" w:sz="8"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w:t>
            </w:r>
          </w:p>
        </w:tc>
        <w:tc>
          <w:tcPr>
            <w:tcW w:w="1257" w:type="dxa"/>
            <w:tcBorders>
              <w:top w:val="nil"/>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Mtep </w:t>
            </w:r>
          </w:p>
        </w:tc>
        <w:tc>
          <w:tcPr>
            <w:tcW w:w="1004" w:type="dxa"/>
            <w:tcBorders>
              <w:top w:val="nil"/>
              <w:left w:val="nil"/>
              <w:bottom w:val="single" w:sz="8" w:space="0" w:color="00000A"/>
              <w:insideH w:val="single" w:sz="8" w:space="0" w:color="00000A"/>
              <w:right w:val="nil"/>
              <w:insideV w:val="nil"/>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w:t>
            </w:r>
          </w:p>
        </w:tc>
        <w:tc>
          <w:tcPr>
            <w:tcW w:w="1312" w:type="dxa"/>
            <w:tcBorders>
              <w:top w:val="nil"/>
              <w:left w:val="single" w:sz="4" w:space="0" w:color="00000A"/>
              <w:bottom w:val="single" w:sz="8" w:space="0" w:color="00000A"/>
              <w:insideH w:val="single" w:sz="8" w:space="0" w:color="00000A"/>
              <w:right w:val="single" w:sz="4" w:space="0" w:color="00000A"/>
              <w:insideV w:val="single" w:sz="4" w:space="0" w:color="00000A"/>
            </w:tcBorders>
            <w:shd w:fill="FFFFFF" w:val="clear"/>
            <w:tcMar>
              <w:left w:w="65"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Mtep </w:t>
            </w:r>
          </w:p>
        </w:tc>
        <w:tc>
          <w:tcPr>
            <w:tcW w:w="1004" w:type="dxa"/>
            <w:tcBorders>
              <w:top w:val="nil"/>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w:t>
            </w:r>
          </w:p>
        </w:tc>
        <w:tc>
          <w:tcPr>
            <w:tcW w:w="1211" w:type="dxa"/>
            <w:gridSpan w:val="2"/>
            <w:tcBorders>
              <w:top w:val="nil"/>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Mtep </w:t>
            </w:r>
          </w:p>
        </w:tc>
        <w:tc>
          <w:tcPr>
            <w:tcW w:w="1215" w:type="dxa"/>
            <w:gridSpan w:val="3"/>
            <w:tcBorders>
              <w:top w:val="nil"/>
              <w:left w:val="nil"/>
              <w:bottom w:val="single" w:sz="8" w:space="0" w:color="00000A"/>
              <w:insideH w:val="single" w:sz="8" w:space="0" w:color="00000A"/>
              <w:right w:val="single" w:sz="8" w:space="0" w:color="00000A"/>
              <w:insideV w:val="single" w:sz="8" w:space="0" w:color="00000A"/>
            </w:tcBorders>
            <w:shd w:fill="FFFFFF" w:val="cle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w:t>
            </w:r>
          </w:p>
        </w:tc>
      </w:tr>
      <w:tr>
        <w:trPr>
          <w:trHeight w:val="300" w:hRule="atLeast"/>
          <w:cantSplit w:val="false"/>
        </w:trPr>
        <w:tc>
          <w:tcPr>
            <w:tcW w:w="2204"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Charbon</w:t>
            </w:r>
          </w:p>
        </w:tc>
        <w:tc>
          <w:tcPr>
            <w:tcW w:w="1257"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 xml:space="preserve">4,47  </w:t>
            </w:r>
          </w:p>
        </w:tc>
        <w:tc>
          <w:tcPr>
            <w:tcW w:w="1004"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4,76%</w:t>
            </w:r>
          </w:p>
        </w:tc>
        <w:tc>
          <w:tcPr>
            <w:tcW w:w="131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 xml:space="preserve">35,78  </w:t>
            </w:r>
          </w:p>
        </w:tc>
        <w:tc>
          <w:tcPr>
            <w:tcW w:w="1004"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16,06%</w:t>
            </w:r>
          </w:p>
        </w:tc>
        <w:tc>
          <w:tcPr>
            <w:tcW w:w="1211"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 xml:space="preserve">40,25  </w:t>
            </w:r>
          </w:p>
        </w:tc>
        <w:tc>
          <w:tcPr>
            <w:tcW w:w="1215" w:type="dxa"/>
            <w:gridSpan w:val="3"/>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12,71%</w:t>
            </w:r>
          </w:p>
        </w:tc>
      </w:tr>
      <w:tr>
        <w:trPr>
          <w:trHeight w:val="300" w:hRule="atLeast"/>
          <w:cantSplit w:val="false"/>
        </w:trPr>
        <w:tc>
          <w:tcPr>
            <w:tcW w:w="2204"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Lignite</w:t>
            </w:r>
          </w:p>
        </w:tc>
        <w:tc>
          <w:tcPr>
            <w:tcW w:w="1257"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 xml:space="preserve">38,27  </w:t>
            </w:r>
          </w:p>
        </w:tc>
        <w:tc>
          <w:tcPr>
            <w:tcW w:w="1004"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40,75%</w:t>
            </w:r>
          </w:p>
        </w:tc>
        <w:tc>
          <w:tcPr>
            <w:tcW w:w="131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 xml:space="preserve">-0,98  </w:t>
            </w:r>
          </w:p>
        </w:tc>
        <w:tc>
          <w:tcPr>
            <w:tcW w:w="1004"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-0,44%</w:t>
            </w:r>
          </w:p>
        </w:tc>
        <w:tc>
          <w:tcPr>
            <w:tcW w:w="1211"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 xml:space="preserve">37,29  </w:t>
            </w:r>
          </w:p>
        </w:tc>
        <w:tc>
          <w:tcPr>
            <w:tcW w:w="1215" w:type="dxa"/>
            <w:gridSpan w:val="3"/>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11,77%</w:t>
            </w:r>
          </w:p>
        </w:tc>
      </w:tr>
      <w:tr>
        <w:trPr>
          <w:trHeight w:val="300" w:hRule="atLeast"/>
          <w:cantSplit w:val="false"/>
        </w:trPr>
        <w:tc>
          <w:tcPr>
            <w:tcW w:w="2204"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Pétrole</w:t>
            </w:r>
          </w:p>
        </w:tc>
        <w:tc>
          <w:tcPr>
            <w:tcW w:w="1257"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 xml:space="preserve">2,86  </w:t>
            </w:r>
          </w:p>
        </w:tc>
        <w:tc>
          <w:tcPr>
            <w:tcW w:w="1004"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3,05%</w:t>
            </w:r>
          </w:p>
        </w:tc>
        <w:tc>
          <w:tcPr>
            <w:tcW w:w="131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 xml:space="preserve">104,50  </w:t>
            </w:r>
          </w:p>
        </w:tc>
        <w:tc>
          <w:tcPr>
            <w:tcW w:w="1004"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46,91%</w:t>
            </w:r>
          </w:p>
        </w:tc>
        <w:tc>
          <w:tcPr>
            <w:tcW w:w="1211"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 xml:space="preserve">107,36  </w:t>
            </w:r>
          </w:p>
        </w:tc>
        <w:tc>
          <w:tcPr>
            <w:tcW w:w="1215" w:type="dxa"/>
            <w:gridSpan w:val="3"/>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33,90%</w:t>
            </w:r>
          </w:p>
        </w:tc>
      </w:tr>
      <w:tr>
        <w:trPr>
          <w:trHeight w:val="300" w:hRule="atLeast"/>
          <w:cantSplit w:val="false"/>
        </w:trPr>
        <w:tc>
          <w:tcPr>
            <w:tcW w:w="2204"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Gaz</w:t>
            </w:r>
          </w:p>
        </w:tc>
        <w:tc>
          <w:tcPr>
            <w:tcW w:w="1257"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 xml:space="preserve">6,47  </w:t>
            </w:r>
          </w:p>
        </w:tc>
        <w:tc>
          <w:tcPr>
            <w:tcW w:w="1004"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6,89%</w:t>
            </w:r>
          </w:p>
        </w:tc>
        <w:tc>
          <w:tcPr>
            <w:tcW w:w="131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 xml:space="preserve">60,46  </w:t>
            </w:r>
          </w:p>
        </w:tc>
        <w:tc>
          <w:tcPr>
            <w:tcW w:w="1004"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27,14%</w:t>
            </w:r>
          </w:p>
        </w:tc>
        <w:tc>
          <w:tcPr>
            <w:tcW w:w="1211"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 xml:space="preserve">66,93  </w:t>
            </w:r>
          </w:p>
        </w:tc>
        <w:tc>
          <w:tcPr>
            <w:tcW w:w="1215" w:type="dxa"/>
            <w:gridSpan w:val="3"/>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21,13%</w:t>
            </w:r>
          </w:p>
        </w:tc>
      </w:tr>
      <w:tr>
        <w:trPr>
          <w:trHeight w:val="300" w:hRule="atLeast"/>
          <w:cantSplit w:val="false"/>
        </w:trPr>
        <w:tc>
          <w:tcPr>
            <w:tcW w:w="2204"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Nucléaire</w:t>
            </w:r>
          </w:p>
        </w:tc>
        <w:tc>
          <w:tcPr>
            <w:tcW w:w="1257" w:type="dxa"/>
            <w:tcBorders>
              <w:top w:val="nil"/>
              <w:left w:val="nil"/>
              <w:bottom w:val="single" w:sz="4" w:space="0" w:color="00000A"/>
              <w:insideH w:val="single" w:sz="4" w:space="0" w:color="00000A"/>
              <w:right w:val="nil"/>
              <w:insideV w:val="nil"/>
            </w:tcBorders>
            <w:shd w:fill="FFFFFF" w:val="cle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w:t>
            </w:r>
          </w:p>
        </w:tc>
        <w:tc>
          <w:tcPr>
            <w:tcW w:w="100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0,00%</w:t>
            </w:r>
          </w:p>
        </w:tc>
        <w:tc>
          <w:tcPr>
            <w:tcW w:w="1312" w:type="dxa"/>
            <w:tcBorders>
              <w:top w:val="nil"/>
              <w:left w:val="nil"/>
              <w:bottom w:val="single" w:sz="4" w:space="0" w:color="00000A"/>
              <w:insideH w:val="single" w:sz="4" w:space="0" w:color="00000A"/>
              <w:right w:val="nil"/>
              <w:insideV w:val="nil"/>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 xml:space="preserve">23,82  </w:t>
            </w:r>
          </w:p>
        </w:tc>
        <w:tc>
          <w:tcPr>
            <w:tcW w:w="100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10,69%</w:t>
            </w:r>
          </w:p>
        </w:tc>
        <w:tc>
          <w:tcPr>
            <w:tcW w:w="1211"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 xml:space="preserve">23,82  </w:t>
            </w:r>
          </w:p>
        </w:tc>
        <w:tc>
          <w:tcPr>
            <w:tcW w:w="1215" w:type="dxa"/>
            <w:gridSpan w:val="3"/>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7,52%</w:t>
            </w:r>
          </w:p>
        </w:tc>
      </w:tr>
      <w:tr>
        <w:trPr>
          <w:trHeight w:val="300" w:hRule="atLeast"/>
          <w:cantSplit w:val="false"/>
        </w:trPr>
        <w:tc>
          <w:tcPr>
            <w:tcW w:w="2204"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ENR</w:t>
            </w:r>
          </w:p>
        </w:tc>
        <w:tc>
          <w:tcPr>
            <w:tcW w:w="1257"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 xml:space="preserve">40,51  </w:t>
            </w:r>
          </w:p>
        </w:tc>
        <w:tc>
          <w:tcPr>
            <w:tcW w:w="1004"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43,14%</w:t>
            </w:r>
          </w:p>
        </w:tc>
        <w:tc>
          <w:tcPr>
            <w:tcW w:w="131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 xml:space="preserve">-0,79  </w:t>
            </w:r>
          </w:p>
        </w:tc>
        <w:tc>
          <w:tcPr>
            <w:tcW w:w="1004"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-0,35%</w:t>
            </w:r>
          </w:p>
        </w:tc>
        <w:tc>
          <w:tcPr>
            <w:tcW w:w="1211"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 xml:space="preserve">39,72  </w:t>
            </w:r>
          </w:p>
        </w:tc>
        <w:tc>
          <w:tcPr>
            <w:tcW w:w="1215" w:type="dxa"/>
            <w:gridSpan w:val="3"/>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12,54%</w:t>
            </w:r>
          </w:p>
        </w:tc>
      </w:tr>
      <w:tr>
        <w:trPr>
          <w:trHeight w:val="300" w:hRule="atLeast"/>
          <w:cantSplit w:val="false"/>
        </w:trPr>
        <w:tc>
          <w:tcPr>
            <w:tcW w:w="2204" w:type="dxa"/>
            <w:tcBorders>
              <w:top w:val="nil"/>
              <w:left w:val="single" w:sz="8" w:space="0" w:color="00000A"/>
              <w:bottom w:val="nil"/>
              <w:insideH w:val="nil"/>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Divers</w:t>
            </w:r>
          </w:p>
        </w:tc>
        <w:tc>
          <w:tcPr>
            <w:tcW w:w="1257" w:type="dxa"/>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 xml:space="preserve">5,76  </w:t>
            </w:r>
          </w:p>
        </w:tc>
        <w:tc>
          <w:tcPr>
            <w:tcW w:w="1004"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6,13%</w:t>
            </w:r>
          </w:p>
        </w:tc>
        <w:tc>
          <w:tcPr>
            <w:tcW w:w="1312" w:type="dxa"/>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w:t>
            </w:r>
          </w:p>
        </w:tc>
        <w:tc>
          <w:tcPr>
            <w:tcW w:w="1004"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0,00%</w:t>
            </w:r>
          </w:p>
        </w:tc>
        <w:tc>
          <w:tcPr>
            <w:tcW w:w="1211" w:type="dxa"/>
            <w:gridSpan w:val="2"/>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 xml:space="preserve">5,76  </w:t>
            </w:r>
          </w:p>
        </w:tc>
        <w:tc>
          <w:tcPr>
            <w:tcW w:w="1215" w:type="dxa"/>
            <w:gridSpan w:val="3"/>
            <w:tcBorders>
              <w:top w:val="nil"/>
              <w:left w:val="nil"/>
              <w:bottom w:val="nil"/>
              <w:insideH w:val="nil"/>
              <w:right w:val="single" w:sz="8" w:space="0" w:color="00000A"/>
              <w:insideV w:val="single" w:sz="8"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1,82%</w:t>
            </w:r>
          </w:p>
        </w:tc>
      </w:tr>
      <w:tr>
        <w:trPr>
          <w:trHeight w:val="315" w:hRule="atLeast"/>
          <w:cantSplit w:val="false"/>
        </w:trPr>
        <w:tc>
          <w:tcPr>
            <w:tcW w:w="2204" w:type="dxa"/>
            <w:tcBorders>
              <w:top w:val="single" w:sz="4" w:space="0" w:color="00000A"/>
              <w:left w:val="single" w:sz="8" w:space="0" w:color="00000A"/>
              <w:bottom w:val="single" w:sz="8" w:space="0" w:color="00000A"/>
              <w:insideH w:val="single" w:sz="8"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Export électricté</w:t>
            </w:r>
          </w:p>
        </w:tc>
        <w:tc>
          <w:tcPr>
            <w:tcW w:w="1257" w:type="dxa"/>
            <w:tcBorders>
              <w:top w:val="single" w:sz="4" w:space="0" w:color="00000A"/>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 xml:space="preserve">-4,43  </w:t>
            </w:r>
          </w:p>
        </w:tc>
        <w:tc>
          <w:tcPr>
            <w:tcW w:w="1004"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-4,72%</w:t>
            </w:r>
          </w:p>
        </w:tc>
        <w:tc>
          <w:tcPr>
            <w:tcW w:w="1312" w:type="dxa"/>
            <w:tcBorders>
              <w:top w:val="single" w:sz="4" w:space="0" w:color="00000A"/>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w:t>
            </w:r>
          </w:p>
        </w:tc>
        <w:tc>
          <w:tcPr>
            <w:tcW w:w="1004"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0,00%</w:t>
            </w:r>
          </w:p>
        </w:tc>
        <w:tc>
          <w:tcPr>
            <w:tcW w:w="1211" w:type="dxa"/>
            <w:gridSpan w:val="2"/>
            <w:tcBorders>
              <w:top w:val="single" w:sz="4" w:space="0" w:color="00000A"/>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 xml:space="preserve">-4,43  </w:t>
            </w:r>
          </w:p>
        </w:tc>
        <w:tc>
          <w:tcPr>
            <w:tcW w:w="1215" w:type="dxa"/>
            <w:gridSpan w:val="3"/>
            <w:tcBorders>
              <w:top w:val="single" w:sz="4" w:space="0" w:color="00000A"/>
              <w:left w:val="nil"/>
              <w:bottom w:val="nil"/>
              <w:insideH w:val="nil"/>
              <w:right w:val="single" w:sz="8" w:space="0" w:color="00000A"/>
              <w:insideV w:val="single" w:sz="8"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-1,40%</w:t>
            </w:r>
          </w:p>
        </w:tc>
      </w:tr>
      <w:tr>
        <w:trPr>
          <w:trHeight w:val="315" w:hRule="atLeast"/>
          <w:cantSplit w:val="false"/>
        </w:trPr>
        <w:tc>
          <w:tcPr>
            <w:tcW w:w="2204" w:type="dxa"/>
            <w:tcBorders>
              <w:top w:val="nil"/>
              <w:left w:val="single" w:sz="8" w:space="0" w:color="00000A"/>
              <w:bottom w:val="single" w:sz="8" w:space="0" w:color="00000A"/>
              <w:insideH w:val="single" w:sz="8"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Total</w:t>
            </w:r>
          </w:p>
        </w:tc>
        <w:tc>
          <w:tcPr>
            <w:tcW w:w="1257" w:type="dxa"/>
            <w:tcBorders>
              <w:top w:val="nil"/>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 xml:space="preserve">93,91  </w:t>
            </w:r>
          </w:p>
        </w:tc>
        <w:tc>
          <w:tcPr>
            <w:tcW w:w="1004" w:type="dxa"/>
            <w:tcBorders>
              <w:top w:val="single" w:sz="8" w:space="0" w:color="00000A"/>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100,00%</w:t>
            </w:r>
          </w:p>
        </w:tc>
        <w:tc>
          <w:tcPr>
            <w:tcW w:w="1312" w:type="dxa"/>
            <w:tcBorders>
              <w:top w:val="nil"/>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 xml:space="preserve">222,79  </w:t>
            </w:r>
          </w:p>
        </w:tc>
        <w:tc>
          <w:tcPr>
            <w:tcW w:w="1004" w:type="dxa"/>
            <w:tcBorders>
              <w:top w:val="single" w:sz="8" w:space="0" w:color="00000A"/>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100,00%</w:t>
            </w:r>
          </w:p>
        </w:tc>
        <w:tc>
          <w:tcPr>
            <w:tcW w:w="1211" w:type="dxa"/>
            <w:gridSpan w:val="2"/>
            <w:tcBorders>
              <w:top w:val="nil"/>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 xml:space="preserve">316,70  </w:t>
            </w:r>
          </w:p>
        </w:tc>
        <w:tc>
          <w:tcPr>
            <w:tcW w:w="1215" w:type="dxa"/>
            <w:gridSpan w:val="3"/>
            <w:tcBorders>
              <w:top w:val="single" w:sz="8" w:space="0" w:color="00000A"/>
              <w:left w:val="nil"/>
              <w:bottom w:val="single" w:sz="8" w:space="0" w:color="00000A"/>
              <w:insideH w:val="single" w:sz="8" w:space="0" w:color="00000A"/>
              <w:right w:val="single" w:sz="8" w:space="0" w:color="00000A"/>
              <w:insideV w:val="single" w:sz="8" w:space="0" w:color="00000A"/>
            </w:tcBorders>
            <w:shd w:fill="FFFFFF" w:val="clear"/>
            <w:vAlign w:val="bottom"/>
          </w:tcPr>
          <w:p>
            <w:pPr>
              <w:pStyle w:val="Normal"/>
              <w:spacing w:lineRule="auto" w:line="240" w:before="0" w:after="0"/>
              <w:jc w:val="right"/>
              <w:rPr>
                <w:rFonts w:eastAsia="Times New Roman" w:cs="Arial" w:ascii="Arial" w:hAnsi="Arial"/>
                <w:color w:val="000000"/>
                <w:lang w:eastAsia="fr-FR"/>
              </w:rPr>
            </w:pPr>
            <w:r>
              <w:rPr>
                <w:rFonts w:eastAsia="Times New Roman" w:cs="Arial" w:ascii="Arial" w:hAnsi="Arial"/>
                <w:color w:val="000000"/>
                <w:lang w:eastAsia="fr-FR"/>
              </w:rPr>
              <w:t>100,00%</w:t>
            </w:r>
          </w:p>
        </w:tc>
      </w:tr>
      <w:tr>
        <w:trPr>
          <w:trHeight w:val="300" w:hRule="atLeast"/>
          <w:cantSplit w:val="false"/>
        </w:trPr>
        <w:tc>
          <w:tcPr>
            <w:tcW w:w="22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jc w:val="right"/>
              <w:rPr>
                <w:rFonts w:eastAsia="Times New Roman" w:cs="Times New Roman"/>
                <w:color w:val="000000"/>
                <w:lang w:eastAsia="fr-FR"/>
              </w:rPr>
            </w:pPr>
            <w:r>
              <w:rPr>
                <w:rFonts w:eastAsia="Times New Roman" w:cs="Times New Roman"/>
                <w:color w:val="000000"/>
                <w:lang w:eastAsia="fr-FR"/>
              </w:rPr>
            </w:r>
          </w:p>
        </w:tc>
        <w:tc>
          <w:tcPr>
            <w:tcW w:w="131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5"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346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t>ENR = Energies renouvelables</w:t>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jc w:val="right"/>
              <w:rPr>
                <w:rFonts w:eastAsia="Times New Roman" w:cs="Times New Roman"/>
                <w:color w:val="000000"/>
                <w:lang w:eastAsia="fr-FR"/>
              </w:rPr>
            </w:pPr>
            <w:r>
              <w:rPr>
                <w:rFonts w:eastAsia="Times New Roman" w:cs="Times New Roman"/>
                <w:color w:val="000000"/>
                <w:lang w:eastAsia="fr-FR"/>
              </w:rPr>
            </w:r>
          </w:p>
        </w:tc>
        <w:tc>
          <w:tcPr>
            <w:tcW w:w="131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5"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jc w:val="right"/>
              <w:rPr>
                <w:rFonts w:eastAsia="Times New Roman" w:cs="Times New Roman"/>
                <w:color w:val="000000"/>
                <w:lang w:eastAsia="fr-FR"/>
              </w:rPr>
            </w:pPr>
            <w:r>
              <w:rPr>
                <w:rFonts w:eastAsia="Times New Roman" w:cs="Times New Roman"/>
                <w:color w:val="000000"/>
                <w:lang w:eastAsia="fr-FR"/>
              </w:rPr>
            </w:r>
          </w:p>
        </w:tc>
        <w:tc>
          <w:tcPr>
            <w:tcW w:w="131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5"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04" w:type="dxa"/>
            <w:tcBorders>
              <w:top w:val="nil"/>
              <w:left w:val="nil"/>
              <w:bottom w:val="nil"/>
              <w:insideH w:val="nil"/>
              <w:right w:val="nil"/>
              <w:insideV w:val="nil"/>
            </w:tcBorders>
            <w:shd w:fill="FFFFFF" w:val="clear"/>
            <w:vAlign w:val="bottom"/>
          </w:tcPr>
          <w:p>
            <w:pPr>
              <w:pStyle w:val="Normal"/>
              <w:spacing w:lineRule="auto" w:line="240" w:before="0" w:after="0"/>
              <w:rPr/>
            </w:pPr>
            <w:r>
              <w:rPr/>
              <w:drawing>
                <wp:inline distT="0" distB="0" distL="0" distR="0">
                  <wp:extent cx="6057900" cy="4057650"/>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r>
              <w:rPr/>
              <w:drawing>
                <wp:inline distT="0" distB="0" distL="0" distR="0">
                  <wp:extent cx="6057900" cy="4057650"/>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r>
              <w:rPr/>
              <w:drawing>
                <wp:inline distT="0" distB="0" distL="0" distR="0">
                  <wp:extent cx="6057900" cy="4057650"/>
                  <wp:effectExtent l="0" t="0" r="0" b="0"/>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Pr/>
              <w:drawing>
                <wp:inline distT="0" distB="0" distL="0" distR="0">
                  <wp:extent cx="6057900" cy="4057650"/>
                  <wp:effectExtent l="0" t="0" r="0" b="0"/>
                  <wp:docPr id="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1960"/>
            </w:tblGrid>
            <w:tr>
              <w:trPr>
                <w:trHeight w:val="300" w:hRule="atLeast"/>
                <w:cantSplit w:val="false"/>
              </w:trPr>
              <w:tc>
                <w:tcPr>
                  <w:tcW w:w="1960"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bl>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jc w:val="right"/>
              <w:rPr>
                <w:rFonts w:eastAsia="Times New Roman" w:cs="Times New Roman"/>
                <w:color w:val="000000"/>
                <w:lang w:eastAsia="fr-FR"/>
              </w:rPr>
            </w:pPr>
            <w:r>
              <w:rPr>
                <w:rFonts w:eastAsia="Times New Roman" w:cs="Times New Roman"/>
                <w:color w:val="000000"/>
                <w:lang w:eastAsia="fr-FR"/>
              </w:rPr>
            </w:r>
          </w:p>
        </w:tc>
        <w:tc>
          <w:tcPr>
            <w:tcW w:w="131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5"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jc w:val="right"/>
              <w:rPr>
                <w:rFonts w:eastAsia="Times New Roman" w:cs="Times New Roman"/>
                <w:color w:val="000000"/>
                <w:lang w:eastAsia="fr-FR"/>
              </w:rPr>
            </w:pPr>
            <w:r>
              <w:rPr>
                <w:rFonts w:eastAsia="Times New Roman" w:cs="Times New Roman"/>
                <w:color w:val="000000"/>
                <w:lang w:eastAsia="fr-FR"/>
              </w:rPr>
            </w:r>
          </w:p>
        </w:tc>
        <w:tc>
          <w:tcPr>
            <w:tcW w:w="131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5"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jc w:val="right"/>
              <w:rPr>
                <w:rFonts w:eastAsia="Times New Roman" w:cs="Times New Roman"/>
                <w:color w:val="000000"/>
                <w:lang w:eastAsia="fr-FR"/>
              </w:rPr>
            </w:pPr>
            <w:r>
              <w:rPr>
                <w:rFonts w:eastAsia="Times New Roman" w:cs="Times New Roman"/>
                <w:color w:val="000000"/>
                <w:lang w:eastAsia="fr-FR"/>
              </w:rPr>
            </w:r>
          </w:p>
        </w:tc>
        <w:tc>
          <w:tcPr>
            <w:tcW w:w="131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5"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jc w:val="right"/>
              <w:rPr>
                <w:rFonts w:eastAsia="Times New Roman" w:cs="Times New Roman"/>
                <w:color w:val="000000"/>
                <w:lang w:eastAsia="fr-FR"/>
              </w:rPr>
            </w:pPr>
            <w:r>
              <w:rPr>
                <w:rFonts w:eastAsia="Times New Roman" w:cs="Times New Roman"/>
                <w:color w:val="000000"/>
                <w:lang w:eastAsia="fr-FR"/>
              </w:rPr>
            </w:r>
          </w:p>
        </w:tc>
        <w:tc>
          <w:tcPr>
            <w:tcW w:w="131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5"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jc w:val="right"/>
              <w:rPr>
                <w:rFonts w:eastAsia="Times New Roman" w:cs="Times New Roman"/>
                <w:color w:val="000000"/>
                <w:lang w:eastAsia="fr-FR"/>
              </w:rPr>
            </w:pPr>
            <w:r>
              <w:rPr>
                <w:rFonts w:eastAsia="Times New Roman" w:cs="Times New Roman"/>
                <w:color w:val="000000"/>
                <w:lang w:eastAsia="fr-FR"/>
              </w:rPr>
            </w:r>
          </w:p>
        </w:tc>
        <w:tc>
          <w:tcPr>
            <w:tcW w:w="131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5"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jc w:val="right"/>
              <w:rPr>
                <w:rFonts w:eastAsia="Times New Roman" w:cs="Times New Roman"/>
                <w:color w:val="000000"/>
                <w:lang w:eastAsia="fr-FR"/>
              </w:rPr>
            </w:pPr>
            <w:r>
              <w:rPr>
                <w:rFonts w:eastAsia="Times New Roman" w:cs="Times New Roman"/>
                <w:color w:val="000000"/>
                <w:lang w:eastAsia="fr-FR"/>
              </w:rPr>
            </w:r>
          </w:p>
        </w:tc>
        <w:tc>
          <w:tcPr>
            <w:tcW w:w="131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5"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jc w:val="right"/>
              <w:rPr>
                <w:rFonts w:eastAsia="Times New Roman" w:cs="Times New Roman"/>
                <w:color w:val="000000"/>
                <w:lang w:eastAsia="fr-FR"/>
              </w:rPr>
            </w:pPr>
            <w:r>
              <w:rPr>
                <w:rFonts w:eastAsia="Times New Roman" w:cs="Times New Roman"/>
                <w:color w:val="000000"/>
                <w:lang w:eastAsia="fr-FR"/>
              </w:rPr>
            </w:r>
          </w:p>
        </w:tc>
        <w:tc>
          <w:tcPr>
            <w:tcW w:w="131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5"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jc w:val="right"/>
              <w:rPr>
                <w:rFonts w:eastAsia="Times New Roman" w:cs="Times New Roman"/>
                <w:color w:val="000000"/>
                <w:lang w:eastAsia="fr-FR"/>
              </w:rPr>
            </w:pPr>
            <w:r>
              <w:rPr>
                <w:rFonts w:eastAsia="Times New Roman" w:cs="Times New Roman"/>
                <w:color w:val="000000"/>
                <w:lang w:eastAsia="fr-FR"/>
              </w:rPr>
            </w:r>
          </w:p>
        </w:tc>
        <w:tc>
          <w:tcPr>
            <w:tcW w:w="131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5"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jc w:val="right"/>
              <w:rPr>
                <w:rFonts w:eastAsia="Times New Roman" w:cs="Times New Roman"/>
                <w:color w:val="000000"/>
                <w:lang w:eastAsia="fr-FR"/>
              </w:rPr>
            </w:pPr>
            <w:r>
              <w:rPr>
                <w:rFonts w:eastAsia="Times New Roman" w:cs="Times New Roman"/>
                <w:color w:val="000000"/>
                <w:lang w:eastAsia="fr-FR"/>
              </w:rPr>
            </w:r>
          </w:p>
        </w:tc>
        <w:tc>
          <w:tcPr>
            <w:tcW w:w="131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5"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jc w:val="right"/>
              <w:rPr>
                <w:rFonts w:eastAsia="Times New Roman" w:cs="Times New Roman"/>
                <w:color w:val="000000"/>
                <w:lang w:eastAsia="fr-FR"/>
              </w:rPr>
            </w:pPr>
            <w:r>
              <w:rPr>
                <w:rFonts w:eastAsia="Times New Roman" w:cs="Times New Roman"/>
                <w:color w:val="000000"/>
                <w:lang w:eastAsia="fr-FR"/>
              </w:rPr>
            </w:r>
          </w:p>
        </w:tc>
        <w:tc>
          <w:tcPr>
            <w:tcW w:w="131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5"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jc w:val="right"/>
              <w:rPr>
                <w:rFonts w:eastAsia="Times New Roman" w:cs="Times New Roman"/>
                <w:color w:val="000000"/>
                <w:lang w:eastAsia="fr-FR"/>
              </w:rPr>
            </w:pPr>
            <w:r>
              <w:rPr>
                <w:rFonts w:eastAsia="Times New Roman" w:cs="Times New Roman"/>
                <w:color w:val="000000"/>
                <w:lang w:eastAsia="fr-FR"/>
              </w:rPr>
            </w:r>
          </w:p>
        </w:tc>
        <w:tc>
          <w:tcPr>
            <w:tcW w:w="131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5"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jc w:val="right"/>
              <w:rPr>
                <w:rFonts w:eastAsia="Times New Roman" w:cs="Times New Roman"/>
                <w:color w:val="000000"/>
                <w:lang w:eastAsia="fr-FR"/>
              </w:rPr>
            </w:pPr>
            <w:r>
              <w:rPr>
                <w:rFonts w:eastAsia="Times New Roman" w:cs="Times New Roman"/>
                <w:color w:val="000000"/>
                <w:lang w:eastAsia="fr-FR"/>
              </w:rPr>
            </w:r>
          </w:p>
        </w:tc>
        <w:tc>
          <w:tcPr>
            <w:tcW w:w="131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5"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jc w:val="right"/>
              <w:rPr>
                <w:rFonts w:eastAsia="Times New Roman" w:cs="Times New Roman"/>
                <w:color w:val="000000"/>
                <w:lang w:eastAsia="fr-FR"/>
              </w:rPr>
            </w:pPr>
            <w:r>
              <w:rPr>
                <w:rFonts w:eastAsia="Times New Roman" w:cs="Times New Roman"/>
                <w:color w:val="000000"/>
                <w:lang w:eastAsia="fr-FR"/>
              </w:rPr>
            </w:r>
          </w:p>
        </w:tc>
        <w:tc>
          <w:tcPr>
            <w:tcW w:w="131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5"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jc w:val="right"/>
              <w:rPr>
                <w:rFonts w:eastAsia="Times New Roman" w:cs="Times New Roman"/>
                <w:color w:val="000000"/>
                <w:lang w:eastAsia="fr-FR"/>
              </w:rPr>
            </w:pPr>
            <w:r>
              <w:rPr>
                <w:rFonts w:eastAsia="Times New Roman" w:cs="Times New Roman"/>
                <w:color w:val="000000"/>
                <w:lang w:eastAsia="fr-FR"/>
              </w:rPr>
            </w:r>
          </w:p>
        </w:tc>
        <w:tc>
          <w:tcPr>
            <w:tcW w:w="131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5"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jc w:val="right"/>
              <w:rPr>
                <w:rFonts w:eastAsia="Times New Roman" w:cs="Times New Roman"/>
                <w:color w:val="000000"/>
                <w:lang w:eastAsia="fr-FR"/>
              </w:rPr>
            </w:pPr>
            <w:r>
              <w:rPr>
                <w:rFonts w:eastAsia="Times New Roman" w:cs="Times New Roman"/>
                <w:color w:val="000000"/>
                <w:lang w:eastAsia="fr-FR"/>
              </w:rPr>
            </w:r>
          </w:p>
        </w:tc>
        <w:tc>
          <w:tcPr>
            <w:tcW w:w="131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5"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jc w:val="right"/>
              <w:rPr>
                <w:rFonts w:eastAsia="Times New Roman" w:cs="Times New Roman"/>
                <w:color w:val="000000"/>
                <w:lang w:eastAsia="fr-FR"/>
              </w:rPr>
            </w:pPr>
            <w:r>
              <w:rPr>
                <w:rFonts w:eastAsia="Times New Roman" w:cs="Times New Roman"/>
                <w:color w:val="000000"/>
                <w:lang w:eastAsia="fr-FR"/>
              </w:rPr>
            </w:r>
          </w:p>
        </w:tc>
        <w:tc>
          <w:tcPr>
            <w:tcW w:w="131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5"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jc w:val="right"/>
              <w:rPr>
                <w:rFonts w:eastAsia="Times New Roman" w:cs="Times New Roman"/>
                <w:color w:val="000000"/>
                <w:lang w:eastAsia="fr-FR"/>
              </w:rPr>
            </w:pPr>
            <w:r>
              <w:rPr>
                <w:rFonts w:eastAsia="Times New Roman" w:cs="Times New Roman"/>
                <w:color w:val="000000"/>
                <w:lang w:eastAsia="fr-FR"/>
              </w:rPr>
            </w:r>
          </w:p>
        </w:tc>
        <w:tc>
          <w:tcPr>
            <w:tcW w:w="131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5"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jc w:val="right"/>
              <w:rPr>
                <w:rFonts w:eastAsia="Times New Roman" w:cs="Times New Roman"/>
                <w:color w:val="000000"/>
                <w:lang w:eastAsia="fr-FR"/>
              </w:rPr>
            </w:pPr>
            <w:r>
              <w:rPr>
                <w:rFonts w:eastAsia="Times New Roman" w:cs="Times New Roman"/>
                <w:color w:val="000000"/>
                <w:lang w:eastAsia="fr-FR"/>
              </w:rPr>
            </w:r>
          </w:p>
        </w:tc>
        <w:tc>
          <w:tcPr>
            <w:tcW w:w="131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5"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jc w:val="right"/>
              <w:rPr>
                <w:rFonts w:eastAsia="Times New Roman" w:cs="Times New Roman"/>
                <w:color w:val="000000"/>
                <w:lang w:eastAsia="fr-FR"/>
              </w:rPr>
            </w:pPr>
            <w:r>
              <w:rPr>
                <w:rFonts w:eastAsia="Times New Roman" w:cs="Times New Roman"/>
                <w:color w:val="000000"/>
                <w:lang w:eastAsia="fr-FR"/>
              </w:rPr>
            </w:r>
          </w:p>
        </w:tc>
        <w:tc>
          <w:tcPr>
            <w:tcW w:w="131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5"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31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5"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31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5"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31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5"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31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5"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31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5"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31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5"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31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15"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0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5792" w:type="dxa"/>
            <w:gridSpan w:val="8"/>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i/>
                <w:iCs/>
                <w:color w:val="000000"/>
                <w:lang w:eastAsia="fr-FR"/>
              </w:rPr>
            </w:pPr>
            <w:r>
              <w:rPr>
                <w:rFonts w:eastAsia="Times New Roman" w:cs="Times New Roman"/>
                <w:i/>
                <w:iCs/>
                <w:color w:val="000000"/>
                <w:lang w:eastAsia="fr-FR"/>
              </w:rPr>
              <w:t xml:space="preserve"> </w:t>
            </w:r>
            <w:r>
              <w:rPr>
                <w:rFonts w:eastAsia="Times New Roman" w:cs="Times New Roman"/>
                <w:i/>
                <w:iCs/>
                <w:color w:val="000000"/>
                <w:lang w:eastAsia="fr-FR"/>
              </w:rPr>
              <w:t xml:space="preserve">Source : Arbeits Gemeinschaft Energie Bilanzen in Jahr 2015 </w:t>
            </w:r>
          </w:p>
        </w:tc>
        <w:tc>
          <w:tcPr>
            <w:tcW w:w="121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bl>
    <w:p>
      <w:pPr>
        <w:pStyle w:val="Normal"/>
        <w:rPr/>
      </w:pPr>
      <w:r>
        <w:rPr/>
      </w:r>
    </w:p>
    <w:p>
      <w:pPr>
        <w:pStyle w:val="Normal"/>
        <w:rPr/>
      </w:pPr>
      <w:r>
        <w:rPr/>
      </w:r>
    </w:p>
    <w:tbl>
      <w:tblPr>
        <w:jc w:val="left"/>
        <w:tblInd w:w="70" w:type="dxa"/>
        <w:tblBorders>
          <w:top w:val="nil"/>
          <w:left w:val="nil"/>
          <w:bottom w:val="nil"/>
          <w:insideH w:val="nil"/>
          <w:right w:val="nil"/>
          <w:insideV w:val="nil"/>
        </w:tblBorders>
        <w:tblCellMar>
          <w:top w:w="0" w:type="dxa"/>
          <w:left w:w="70" w:type="dxa"/>
          <w:bottom w:w="0" w:type="dxa"/>
          <w:right w:w="70" w:type="dxa"/>
        </w:tblCellMar>
      </w:tblPr>
      <w:tblGrid>
        <w:gridCol w:w="1281"/>
        <w:gridCol w:w="3107"/>
        <w:gridCol w:w="2034"/>
        <w:gridCol w:w="1509"/>
        <w:gridCol w:w="139"/>
        <w:gridCol w:w="1"/>
        <w:gridCol w:w="140"/>
      </w:tblGrid>
      <w:tr>
        <w:trPr>
          <w:trHeight w:val="375" w:hRule="atLeast"/>
          <w:cantSplit w:val="false"/>
        </w:trPr>
        <w:tc>
          <w:tcPr>
            <w:tcW w:w="12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930" w:type="dxa"/>
            <w:gridSpan w:val="6"/>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b/>
                <w:bCs/>
                <w:color w:val="000000"/>
                <w:sz w:val="28"/>
                <w:szCs w:val="28"/>
                <w:lang w:eastAsia="fr-FR"/>
              </w:rPr>
            </w:pPr>
            <w:r>
              <w:rPr>
                <w:rFonts w:eastAsia="Times New Roman" w:cs="Times New Roman"/>
                <w:b/>
                <w:bCs/>
                <w:color w:val="000000"/>
                <w:sz w:val="28"/>
                <w:szCs w:val="28"/>
                <w:lang w:eastAsia="fr-FR"/>
              </w:rPr>
              <w:t>Tabeau 2 : Allemagne 2015 - Energies renouvelables</w:t>
            </w:r>
          </w:p>
        </w:tc>
      </w:tr>
      <w:tr>
        <w:trPr>
          <w:trHeight w:val="375" w:hRule="atLeast"/>
          <w:cantSplit w:val="false"/>
        </w:trPr>
        <w:tc>
          <w:tcPr>
            <w:tcW w:w="12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b/>
                <w:bCs/>
                <w:color w:val="000000"/>
                <w:sz w:val="28"/>
                <w:szCs w:val="28"/>
                <w:lang w:eastAsia="fr-FR"/>
              </w:rPr>
            </w:pPr>
            <w:r>
              <w:rPr>
                <w:rFonts w:eastAsia="Times New Roman" w:cs="Times New Roman"/>
                <w:b/>
                <w:bCs/>
                <w:color w:val="000000"/>
                <w:sz w:val="28"/>
                <w:szCs w:val="28"/>
                <w:lang w:eastAsia="fr-FR"/>
              </w:rPr>
            </w:r>
          </w:p>
        </w:tc>
        <w:tc>
          <w:tcPr>
            <w:tcW w:w="2034"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50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15" w:hRule="atLeast"/>
          <w:cantSplit w:val="false"/>
        </w:trPr>
        <w:tc>
          <w:tcPr>
            <w:tcW w:w="12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034"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50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12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07" w:type="dxa"/>
            <w:tcBorders>
              <w:top w:val="single" w:sz="8" w:space="0" w:color="00000A"/>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t>Type ENR</w:t>
            </w:r>
          </w:p>
        </w:tc>
        <w:tc>
          <w:tcPr>
            <w:tcW w:w="2034" w:type="dxa"/>
            <w:tcBorders>
              <w:top w:val="single" w:sz="8" w:space="0" w:color="00000A"/>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 xml:space="preserve"> </w:t>
            </w:r>
            <w:r>
              <w:rPr>
                <w:rFonts w:eastAsia="Times New Roman" w:cs="Times New Roman"/>
                <w:color w:val="000000"/>
                <w:lang w:eastAsia="fr-FR"/>
              </w:rPr>
              <w:t xml:space="preserve">Mtep </w:t>
            </w:r>
          </w:p>
        </w:tc>
        <w:tc>
          <w:tcPr>
            <w:tcW w:w="1509" w:type="dxa"/>
            <w:tcBorders>
              <w:top w:val="single" w:sz="8" w:space="0" w:color="00000A"/>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w:t>
            </w:r>
          </w:p>
        </w:tc>
        <w:tc>
          <w:tcPr>
            <w:tcW w:w="13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12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07"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t>Hydraulique</w:t>
            </w:r>
          </w:p>
        </w:tc>
        <w:tc>
          <w:tcPr>
            <w:tcW w:w="2034"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 xml:space="preserve">             </w:t>
            </w:r>
            <w:r>
              <w:rPr>
                <w:rFonts w:eastAsia="Times New Roman" w:cs="Times New Roman"/>
                <w:color w:val="000000"/>
                <w:lang w:eastAsia="fr-FR"/>
              </w:rPr>
              <w:t xml:space="preserve">1,67   </w:t>
            </w:r>
          </w:p>
        </w:tc>
        <w:tc>
          <w:tcPr>
            <w:tcW w:w="1509"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4,12%</w:t>
            </w:r>
          </w:p>
        </w:tc>
        <w:tc>
          <w:tcPr>
            <w:tcW w:w="13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12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07"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t>Eolien</w:t>
            </w:r>
          </w:p>
        </w:tc>
        <w:tc>
          <w:tcPr>
            <w:tcW w:w="2034"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 xml:space="preserve">             </w:t>
            </w:r>
            <w:r>
              <w:rPr>
                <w:rFonts w:eastAsia="Times New Roman" w:cs="Times New Roman"/>
                <w:color w:val="000000"/>
                <w:lang w:eastAsia="fr-FR"/>
              </w:rPr>
              <w:t xml:space="preserve">7,54   </w:t>
            </w:r>
          </w:p>
        </w:tc>
        <w:tc>
          <w:tcPr>
            <w:tcW w:w="1509"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18,60%</w:t>
            </w:r>
          </w:p>
        </w:tc>
        <w:tc>
          <w:tcPr>
            <w:tcW w:w="13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12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07"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t>Photovoltaïque</w:t>
            </w:r>
          </w:p>
        </w:tc>
        <w:tc>
          <w:tcPr>
            <w:tcW w:w="2034"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 xml:space="preserve">             </w:t>
            </w:r>
            <w:r>
              <w:rPr>
                <w:rFonts w:eastAsia="Times New Roman" w:cs="Times New Roman"/>
                <w:color w:val="000000"/>
                <w:lang w:eastAsia="fr-FR"/>
              </w:rPr>
              <w:t xml:space="preserve">3,17   </w:t>
            </w:r>
          </w:p>
        </w:tc>
        <w:tc>
          <w:tcPr>
            <w:tcW w:w="1509"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7,82%</w:t>
            </w:r>
          </w:p>
        </w:tc>
        <w:tc>
          <w:tcPr>
            <w:tcW w:w="13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12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07"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t>Biomasse</w:t>
            </w:r>
          </w:p>
        </w:tc>
        <w:tc>
          <w:tcPr>
            <w:tcW w:w="2034"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 xml:space="preserve">           </w:t>
            </w:r>
            <w:r>
              <w:rPr>
                <w:rFonts w:eastAsia="Times New Roman" w:cs="Times New Roman"/>
                <w:color w:val="000000"/>
                <w:lang w:eastAsia="fr-FR"/>
              </w:rPr>
              <w:t xml:space="preserve">20,63   </w:t>
            </w:r>
          </w:p>
        </w:tc>
        <w:tc>
          <w:tcPr>
            <w:tcW w:w="1509"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50,90%</w:t>
            </w:r>
          </w:p>
        </w:tc>
        <w:tc>
          <w:tcPr>
            <w:tcW w:w="13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12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07"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t>Déchets</w:t>
            </w:r>
          </w:p>
        </w:tc>
        <w:tc>
          <w:tcPr>
            <w:tcW w:w="2034"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 xml:space="preserve">             </w:t>
            </w:r>
            <w:r>
              <w:rPr>
                <w:rFonts w:eastAsia="Times New Roman" w:cs="Times New Roman"/>
                <w:color w:val="000000"/>
                <w:lang w:eastAsia="fr-FR"/>
              </w:rPr>
              <w:t xml:space="preserve">3,00   </w:t>
            </w:r>
          </w:p>
        </w:tc>
        <w:tc>
          <w:tcPr>
            <w:tcW w:w="1509"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7,40%</w:t>
            </w:r>
          </w:p>
        </w:tc>
        <w:tc>
          <w:tcPr>
            <w:tcW w:w="13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12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07"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t>Solaire thermique</w:t>
            </w:r>
          </w:p>
        </w:tc>
        <w:tc>
          <w:tcPr>
            <w:tcW w:w="2034"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 xml:space="preserve">             </w:t>
            </w:r>
            <w:r>
              <w:rPr>
                <w:rFonts w:eastAsia="Times New Roman" w:cs="Times New Roman"/>
                <w:color w:val="000000"/>
                <w:lang w:eastAsia="fr-FR"/>
              </w:rPr>
              <w:t xml:space="preserve">0,78   </w:t>
            </w:r>
          </w:p>
        </w:tc>
        <w:tc>
          <w:tcPr>
            <w:tcW w:w="1509"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1,92%</w:t>
            </w:r>
          </w:p>
        </w:tc>
        <w:tc>
          <w:tcPr>
            <w:tcW w:w="13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12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07"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t>Géothermie</w:t>
            </w:r>
          </w:p>
        </w:tc>
        <w:tc>
          <w:tcPr>
            <w:tcW w:w="2034"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 xml:space="preserve">             </w:t>
            </w:r>
            <w:r>
              <w:rPr>
                <w:rFonts w:eastAsia="Times New Roman" w:cs="Times New Roman"/>
                <w:color w:val="000000"/>
                <w:lang w:eastAsia="fr-FR"/>
              </w:rPr>
              <w:t xml:space="preserve">1,12   </w:t>
            </w:r>
          </w:p>
        </w:tc>
        <w:tc>
          <w:tcPr>
            <w:tcW w:w="1509"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2,76%</w:t>
            </w:r>
          </w:p>
        </w:tc>
        <w:tc>
          <w:tcPr>
            <w:tcW w:w="13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12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07"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t>Biocarburants</w:t>
            </w:r>
          </w:p>
        </w:tc>
        <w:tc>
          <w:tcPr>
            <w:tcW w:w="2034"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 xml:space="preserve">             </w:t>
            </w:r>
            <w:r>
              <w:rPr>
                <w:rFonts w:eastAsia="Times New Roman" w:cs="Times New Roman"/>
                <w:color w:val="000000"/>
                <w:lang w:eastAsia="fr-FR"/>
              </w:rPr>
              <w:t xml:space="preserve">2,62   </w:t>
            </w:r>
          </w:p>
        </w:tc>
        <w:tc>
          <w:tcPr>
            <w:tcW w:w="1509"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6,46%</w:t>
            </w:r>
          </w:p>
        </w:tc>
        <w:tc>
          <w:tcPr>
            <w:tcW w:w="13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15" w:hRule="atLeast"/>
          <w:cantSplit w:val="false"/>
        </w:trPr>
        <w:tc>
          <w:tcPr>
            <w:tcW w:w="12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07" w:type="dxa"/>
            <w:tcBorders>
              <w:top w:val="nil"/>
              <w:left w:val="single" w:sz="8" w:space="0" w:color="00000A"/>
              <w:bottom w:val="single" w:sz="8" w:space="0" w:color="00000A"/>
              <w:insideH w:val="single" w:sz="8"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t>TOTAL</w:t>
            </w:r>
          </w:p>
        </w:tc>
        <w:tc>
          <w:tcPr>
            <w:tcW w:w="2034" w:type="dxa"/>
            <w:tcBorders>
              <w:top w:val="nil"/>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 xml:space="preserve">           </w:t>
            </w:r>
            <w:r>
              <w:rPr>
                <w:rFonts w:eastAsia="Times New Roman" w:cs="Times New Roman"/>
                <w:color w:val="000000"/>
                <w:lang w:eastAsia="fr-FR"/>
              </w:rPr>
              <w:t xml:space="preserve">40,53   </w:t>
            </w:r>
          </w:p>
        </w:tc>
        <w:tc>
          <w:tcPr>
            <w:tcW w:w="1509"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100,00%</w:t>
            </w:r>
          </w:p>
        </w:tc>
        <w:tc>
          <w:tcPr>
            <w:tcW w:w="13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12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034"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50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1281" w:type="dxa"/>
            <w:tcBorders>
              <w:top w:val="nil"/>
              <w:left w:val="nil"/>
              <w:bottom w:val="nil"/>
              <w:insideH w:val="nil"/>
              <w:right w:val="nil"/>
              <w:insideV w:val="nil"/>
            </w:tcBorders>
            <w:shd w:fill="FFFFFF" w:val="clear"/>
            <w:vAlign w:val="bottom"/>
          </w:tcPr>
          <w:p>
            <w:pPr>
              <w:pStyle w:val="Normal"/>
              <w:spacing w:lineRule="auto" w:line="240" w:before="0" w:after="0"/>
              <w:rPr/>
            </w:pPr>
            <w:r>
              <w:rPr/>
              <w:drawing>
                <wp:inline distT="0" distB="0" distL="0" distR="0">
                  <wp:extent cx="5181600" cy="3505200"/>
                  <wp:effectExtent l="0" t="0" r="0" b="0"/>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pict>
                <v:rect fillcolor="#FFFFFF" strokecolor="#7F7F7F" strokeweight="0pt" style="position:absolute;width:159.75pt;height:21.75pt;mso-wrap-distance-left:9pt;mso-wrap-distance-right:9pt;mso-wrap-distance-top:0pt;mso-wrap-distance-bottom:0pt;margin-top:255pt;margin-left:263.25pt">
                  <v:textbox>
                    <w:txbxContent>
                      <w:p>
                        <w:pPr>
                          <w:pStyle w:val="NormalWeb"/>
                          <w:spacing w:before="280" w:after="280"/>
                          <w:rPr>
                            <w:rFonts w:cs="Arial" w:ascii="Arial" w:hAnsi="Arial"/>
                            <w:b/>
                            <w:bCs/>
                            <w:color w:val="000000"/>
                          </w:rPr>
                        </w:pPr>
                        <w:r>
                          <w:rPr>
                            <w:rFonts w:cs="Arial" w:ascii="Arial" w:hAnsi="Arial"/>
                            <w:b/>
                            <w:bCs/>
                            <w:color w:val="000000"/>
                          </w:rPr>
                          <w:t>Energies renouvelables</w:t>
                        </w:r>
                      </w:p>
                    </w:txbxContent>
                  </v:textbox>
                </v:rect>
              </w:pict>
            </w:r>
          </w:p>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1200"/>
            </w:tblGrid>
            <w:tr>
              <w:trPr>
                <w:trHeight w:val="300" w:hRule="atLeast"/>
                <w:cantSplit w:val="false"/>
              </w:trPr>
              <w:tc>
                <w:tcPr>
                  <w:tcW w:w="1200"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bl>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034"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50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12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034"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50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12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034"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50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12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034"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50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12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034"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50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12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034"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50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12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034"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50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12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034"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50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12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034"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50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12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034"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50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12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034"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50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12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034"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50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12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034"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50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12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034"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50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12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034"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50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12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034"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50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12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034"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50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12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034"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50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12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034"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50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12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034"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50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12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034"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50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12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034"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50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12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034"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50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12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034"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50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12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790" w:type="dxa"/>
            <w:gridSpan w:val="5"/>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Arial" w:ascii="Arial" w:hAnsi="Arial"/>
                <w:i/>
                <w:iCs/>
                <w:color w:val="000000"/>
                <w:lang w:eastAsia="fr-FR"/>
              </w:rPr>
            </w:pPr>
            <w:r>
              <w:rPr>
                <w:rFonts w:eastAsia="Times New Roman" w:cs="Arial" w:ascii="Arial" w:hAnsi="Arial"/>
                <w:i/>
                <w:iCs/>
                <w:color w:val="000000"/>
                <w:lang w:eastAsia="fr-FR"/>
              </w:rPr>
              <w:t>Source : Arbeits Gemeinschaft  Energie Bilanzen in Jahr 2015</w:t>
            </w:r>
          </w:p>
        </w:tc>
        <w:tc>
          <w:tcPr>
            <w:tcW w:w="140"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jc w:val="left"/>
        <w:tblInd w:w="70" w:type="dxa"/>
        <w:tblBorders>
          <w:top w:val="nil"/>
          <w:left w:val="nil"/>
          <w:bottom w:val="nil"/>
          <w:insideH w:val="nil"/>
          <w:right w:val="nil"/>
          <w:insideV w:val="nil"/>
        </w:tblBorders>
        <w:tblCellMar>
          <w:top w:w="0" w:type="dxa"/>
          <w:left w:w="70" w:type="dxa"/>
          <w:bottom w:w="0" w:type="dxa"/>
          <w:right w:w="70" w:type="dxa"/>
        </w:tblCellMar>
      </w:tblPr>
      <w:tblGrid>
        <w:gridCol w:w="2407"/>
        <w:gridCol w:w="1259"/>
        <w:gridCol w:w="1273"/>
        <w:gridCol w:w="1"/>
        <w:gridCol w:w="313"/>
        <w:gridCol w:w="1"/>
        <w:gridCol w:w="2358"/>
        <w:gridCol w:w="1"/>
        <w:gridCol w:w="145"/>
        <w:gridCol w:w="1"/>
        <w:gridCol w:w="145"/>
        <w:gridCol w:w="1"/>
        <w:gridCol w:w="144"/>
        <w:gridCol w:w="1"/>
        <w:gridCol w:w="145"/>
        <w:gridCol w:w="1"/>
        <w:gridCol w:w="475"/>
        <w:gridCol w:w="146"/>
        <w:gridCol w:w="145"/>
        <w:gridCol w:w="146"/>
        <w:gridCol w:w="146"/>
        <w:gridCol w:w="148"/>
      </w:tblGrid>
      <w:tr>
        <w:trPr>
          <w:trHeight w:val="405" w:hRule="atLeast"/>
          <w:cantSplit w:val="false"/>
        </w:trPr>
        <w:tc>
          <w:tcPr>
            <w:tcW w:w="9402" w:type="dxa"/>
            <w:gridSpan w:val="2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Arial" w:ascii="Arial" w:hAnsi="Arial"/>
                <w:b/>
                <w:bCs/>
                <w:color w:val="000000"/>
                <w:sz w:val="32"/>
                <w:szCs w:val="32"/>
                <w:lang w:eastAsia="fr-FR"/>
              </w:rPr>
            </w:pPr>
            <w:r>
              <w:rPr>
                <w:rFonts w:eastAsia="Times New Roman" w:cs="Arial" w:ascii="Arial" w:hAnsi="Arial"/>
                <w:b/>
                <w:bCs/>
                <w:color w:val="000000"/>
                <w:sz w:val="32"/>
                <w:szCs w:val="32"/>
                <w:lang w:eastAsia="fr-FR"/>
              </w:rPr>
              <w:t>Tableau 3 : Allemagne 2015 - Energies finales utilisées</w:t>
            </w:r>
          </w:p>
        </w:tc>
      </w:tr>
      <w:tr>
        <w:trPr>
          <w:trHeight w:val="300" w:hRule="atLeast"/>
          <w:cantSplit w:val="false"/>
        </w:trPr>
        <w:tc>
          <w:tcPr>
            <w:tcW w:w="24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73"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4" w:type="dxa"/>
            <w:gridSpan w:val="2"/>
            <w:tcBorders>
              <w:top w:val="nil"/>
              <w:left w:val="nil"/>
              <w:bottom w:val="nil"/>
              <w:insideH w:val="nil"/>
              <w:right w:val="nil"/>
              <w:insideV w:val="nil"/>
            </w:tcBorders>
            <w:shd w:fill="FFFFFF" w:val="clear"/>
            <w:vAlign w:val="bottom"/>
          </w:tcPr>
          <w:p>
            <w:pPr>
              <w:pStyle w:val="Normal"/>
              <w:spacing w:lineRule="auto" w:line="240" w:before="0" w:after="0"/>
              <w:rPr/>
            </w:pPr>
            <w:r>
              <w:rPr/>
              <w:drawing>
                <wp:inline distT="0" distB="0" distL="0" distR="0">
                  <wp:extent cx="3092450" cy="3314700"/>
                  <wp:effectExtent l="0" t="0" r="0" b="0"/>
                  <wp:docPr id="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2359"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1200"/>
            </w:tblGrid>
            <w:tr>
              <w:trPr>
                <w:trHeight w:val="300" w:hRule="atLeast"/>
                <w:cantSplit w:val="false"/>
              </w:trPr>
              <w:tc>
                <w:tcPr>
                  <w:tcW w:w="1200"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bl>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c>
          <w:tcPr>
            <w:tcW w:w="1207" w:type="dxa"/>
            <w:gridSpan w:val="7"/>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r>
      <w:tr>
        <w:trPr>
          <w:trHeight w:val="315" w:hRule="atLeast"/>
          <w:cantSplit w:val="false"/>
        </w:trPr>
        <w:tc>
          <w:tcPr>
            <w:tcW w:w="24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73"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4"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359"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c>
          <w:tcPr>
            <w:tcW w:w="1207" w:type="dxa"/>
            <w:gridSpan w:val="7"/>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r>
      <w:tr>
        <w:trPr>
          <w:trHeight w:val="315" w:hRule="atLeast"/>
          <w:cantSplit w:val="false"/>
        </w:trPr>
        <w:tc>
          <w:tcPr>
            <w:tcW w:w="2407" w:type="dxa"/>
            <w:tcBorders>
              <w:top w:val="single" w:sz="8" w:space="0" w:color="00000A"/>
              <w:left w:val="single" w:sz="8" w:space="0" w:color="00000A"/>
              <w:bottom w:val="single" w:sz="8" w:space="0" w:color="00000A"/>
              <w:insideH w:val="single" w:sz="8"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Energie finale</w:t>
            </w:r>
          </w:p>
        </w:tc>
        <w:tc>
          <w:tcPr>
            <w:tcW w:w="1259" w:type="dxa"/>
            <w:tcBorders>
              <w:top w:val="single" w:sz="8" w:space="0" w:color="00000A"/>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Mtep </w:t>
            </w:r>
          </w:p>
        </w:tc>
        <w:tc>
          <w:tcPr>
            <w:tcW w:w="1273" w:type="dxa"/>
            <w:tcBorders>
              <w:top w:val="single" w:sz="8" w:space="0" w:color="00000A"/>
              <w:left w:val="nil"/>
              <w:bottom w:val="single" w:sz="8" w:space="0" w:color="00000A"/>
              <w:insideH w:val="single" w:sz="8"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w:t>
            </w:r>
          </w:p>
        </w:tc>
        <w:tc>
          <w:tcPr>
            <w:tcW w:w="314"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359"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c>
          <w:tcPr>
            <w:tcW w:w="1207" w:type="dxa"/>
            <w:gridSpan w:val="7"/>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r>
      <w:tr>
        <w:trPr>
          <w:trHeight w:val="300" w:hRule="atLeast"/>
          <w:cantSplit w:val="false"/>
        </w:trPr>
        <w:tc>
          <w:tcPr>
            <w:tcW w:w="2407" w:type="dxa"/>
            <w:tcBorders>
              <w:top w:val="single" w:sz="4" w:space="0" w:color="00000A"/>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Charbon</w:t>
            </w:r>
          </w:p>
        </w:tc>
        <w:tc>
          <w:tcPr>
            <w:tcW w:w="1259"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8,78   </w:t>
            </w:r>
          </w:p>
        </w:tc>
        <w:tc>
          <w:tcPr>
            <w:tcW w:w="1273" w:type="dxa"/>
            <w:tcBorders>
              <w:top w:val="single" w:sz="4" w:space="0" w:color="00000A"/>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4,2%</w:t>
            </w:r>
          </w:p>
        </w:tc>
        <w:tc>
          <w:tcPr>
            <w:tcW w:w="314"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359"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c>
          <w:tcPr>
            <w:tcW w:w="1207" w:type="dxa"/>
            <w:gridSpan w:val="7"/>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r>
      <w:tr>
        <w:trPr>
          <w:trHeight w:val="300" w:hRule="atLeast"/>
          <w:cantSplit w:val="false"/>
        </w:trPr>
        <w:tc>
          <w:tcPr>
            <w:tcW w:w="2407"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Lignite</w:t>
            </w:r>
          </w:p>
        </w:tc>
        <w:tc>
          <w:tcPr>
            <w:tcW w:w="125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2,00   </w:t>
            </w:r>
          </w:p>
        </w:tc>
        <w:tc>
          <w:tcPr>
            <w:tcW w:w="1273"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0,9%</w:t>
            </w:r>
          </w:p>
        </w:tc>
        <w:tc>
          <w:tcPr>
            <w:tcW w:w="314"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359"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c>
          <w:tcPr>
            <w:tcW w:w="1207" w:type="dxa"/>
            <w:gridSpan w:val="7"/>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r>
      <w:tr>
        <w:trPr>
          <w:trHeight w:val="300" w:hRule="atLeast"/>
          <w:cantSplit w:val="false"/>
        </w:trPr>
        <w:tc>
          <w:tcPr>
            <w:tcW w:w="2407"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Pétrole</w:t>
            </w:r>
          </w:p>
        </w:tc>
        <w:tc>
          <w:tcPr>
            <w:tcW w:w="125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78,90   </w:t>
            </w:r>
          </w:p>
        </w:tc>
        <w:tc>
          <w:tcPr>
            <w:tcW w:w="1273"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37,3%</w:t>
            </w:r>
          </w:p>
        </w:tc>
        <w:tc>
          <w:tcPr>
            <w:tcW w:w="314"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359"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c>
          <w:tcPr>
            <w:tcW w:w="1207" w:type="dxa"/>
            <w:gridSpan w:val="7"/>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r>
      <w:tr>
        <w:trPr>
          <w:trHeight w:val="300" w:hRule="atLeast"/>
          <w:cantSplit w:val="false"/>
        </w:trPr>
        <w:tc>
          <w:tcPr>
            <w:tcW w:w="2407"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Gaz</w:t>
            </w:r>
          </w:p>
        </w:tc>
        <w:tc>
          <w:tcPr>
            <w:tcW w:w="125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50,81   </w:t>
            </w:r>
          </w:p>
        </w:tc>
        <w:tc>
          <w:tcPr>
            <w:tcW w:w="1273"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24,0%</w:t>
            </w:r>
          </w:p>
        </w:tc>
        <w:tc>
          <w:tcPr>
            <w:tcW w:w="314"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359"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c>
          <w:tcPr>
            <w:tcW w:w="1207" w:type="dxa"/>
            <w:gridSpan w:val="7"/>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r>
      <w:tr>
        <w:trPr>
          <w:trHeight w:val="300" w:hRule="atLeast"/>
          <w:cantSplit w:val="false"/>
        </w:trPr>
        <w:tc>
          <w:tcPr>
            <w:tcW w:w="2407"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ENR Thermique</w:t>
            </w:r>
          </w:p>
        </w:tc>
        <w:tc>
          <w:tcPr>
            <w:tcW w:w="125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14,52   </w:t>
            </w:r>
          </w:p>
        </w:tc>
        <w:tc>
          <w:tcPr>
            <w:tcW w:w="1273"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6,9%</w:t>
            </w:r>
          </w:p>
        </w:tc>
        <w:tc>
          <w:tcPr>
            <w:tcW w:w="314"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359"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c>
          <w:tcPr>
            <w:tcW w:w="1207" w:type="dxa"/>
            <w:gridSpan w:val="7"/>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r>
      <w:tr>
        <w:trPr>
          <w:trHeight w:val="300" w:hRule="atLeast"/>
          <w:cantSplit w:val="false"/>
        </w:trPr>
        <w:tc>
          <w:tcPr>
            <w:tcW w:w="2407" w:type="dxa"/>
            <w:tcBorders>
              <w:top w:val="nil"/>
              <w:left w:val="single" w:sz="8" w:space="0" w:color="00000A"/>
              <w:bottom w:val="nil"/>
              <w:insideH w:val="nil"/>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Réseau chaleur</w:t>
            </w:r>
          </w:p>
        </w:tc>
        <w:tc>
          <w:tcPr>
            <w:tcW w:w="125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9,83   </w:t>
            </w:r>
          </w:p>
        </w:tc>
        <w:tc>
          <w:tcPr>
            <w:tcW w:w="1273" w:type="dxa"/>
            <w:tcBorders>
              <w:top w:val="nil"/>
              <w:left w:val="single" w:sz="4" w:space="0" w:color="00000A"/>
              <w:bottom w:val="single" w:sz="4" w:space="0" w:color="00000A"/>
              <w:insideH w:val="single" w:sz="4" w:space="0" w:color="00000A"/>
              <w:right w:val="single" w:sz="8" w:space="0" w:color="00000A"/>
              <w:insideV w:val="single" w:sz="8" w:space="0" w:color="00000A"/>
            </w:tcBorders>
            <w:shd w:fill="FFFFFF" w:val="clear"/>
            <w:tcMar>
              <w:left w:w="65" w:type="dxa"/>
            </w:tcM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4,7%</w:t>
            </w:r>
          </w:p>
        </w:tc>
        <w:tc>
          <w:tcPr>
            <w:tcW w:w="314"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359"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c>
          <w:tcPr>
            <w:tcW w:w="1207" w:type="dxa"/>
            <w:gridSpan w:val="7"/>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r>
      <w:tr>
        <w:trPr>
          <w:trHeight w:val="300" w:hRule="atLeast"/>
          <w:cantSplit w:val="false"/>
        </w:trPr>
        <w:tc>
          <w:tcPr>
            <w:tcW w:w="2407" w:type="dxa"/>
            <w:tcBorders>
              <w:top w:val="single" w:sz="4" w:space="0" w:color="00000A"/>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xml:space="preserve">Electricité </w:t>
            </w:r>
          </w:p>
        </w:tc>
        <w:tc>
          <w:tcPr>
            <w:tcW w:w="1259"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44,60   </w:t>
            </w:r>
          </w:p>
        </w:tc>
        <w:tc>
          <w:tcPr>
            <w:tcW w:w="1273"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21,1%</w:t>
            </w:r>
          </w:p>
        </w:tc>
        <w:tc>
          <w:tcPr>
            <w:tcW w:w="314"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359"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c>
          <w:tcPr>
            <w:tcW w:w="1207" w:type="dxa"/>
            <w:gridSpan w:val="7"/>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r>
      <w:tr>
        <w:trPr>
          <w:trHeight w:val="315" w:hRule="atLeast"/>
          <w:cantSplit w:val="false"/>
        </w:trPr>
        <w:tc>
          <w:tcPr>
            <w:tcW w:w="2407" w:type="dxa"/>
            <w:tcBorders>
              <w:top w:val="nil"/>
              <w:left w:val="single" w:sz="8" w:space="0" w:color="00000A"/>
              <w:bottom w:val="single" w:sz="8" w:space="0" w:color="00000A"/>
              <w:insideH w:val="single" w:sz="8"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Divers</w:t>
            </w:r>
          </w:p>
        </w:tc>
        <w:tc>
          <w:tcPr>
            <w:tcW w:w="1259" w:type="dxa"/>
            <w:tcBorders>
              <w:top w:val="nil"/>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1,83   </w:t>
            </w:r>
          </w:p>
        </w:tc>
        <w:tc>
          <w:tcPr>
            <w:tcW w:w="1273"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0,9%</w:t>
            </w:r>
          </w:p>
        </w:tc>
        <w:tc>
          <w:tcPr>
            <w:tcW w:w="314"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359"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c>
          <w:tcPr>
            <w:tcW w:w="1207" w:type="dxa"/>
            <w:gridSpan w:val="7"/>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r>
      <w:tr>
        <w:trPr>
          <w:trHeight w:val="315" w:hRule="atLeast"/>
          <w:cantSplit w:val="false"/>
        </w:trPr>
        <w:tc>
          <w:tcPr>
            <w:tcW w:w="2407" w:type="dxa"/>
            <w:tcBorders>
              <w:top w:val="nil"/>
              <w:left w:val="single" w:sz="8" w:space="0" w:color="00000A"/>
              <w:bottom w:val="single" w:sz="8" w:space="0" w:color="00000A"/>
              <w:insideH w:val="single" w:sz="8"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Total</w:t>
            </w:r>
          </w:p>
        </w:tc>
        <w:tc>
          <w:tcPr>
            <w:tcW w:w="1259" w:type="dxa"/>
            <w:tcBorders>
              <w:top w:val="nil"/>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211,27   </w:t>
            </w:r>
          </w:p>
        </w:tc>
        <w:tc>
          <w:tcPr>
            <w:tcW w:w="1273"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100,0%</w:t>
            </w:r>
          </w:p>
        </w:tc>
        <w:tc>
          <w:tcPr>
            <w:tcW w:w="314"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359"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c>
          <w:tcPr>
            <w:tcW w:w="1207" w:type="dxa"/>
            <w:gridSpan w:val="7"/>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r>
      <w:tr>
        <w:trPr>
          <w:trHeight w:val="300" w:hRule="atLeast"/>
          <w:cantSplit w:val="false"/>
        </w:trPr>
        <w:tc>
          <w:tcPr>
            <w:tcW w:w="24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73"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4"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359"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c>
          <w:tcPr>
            <w:tcW w:w="1207" w:type="dxa"/>
            <w:gridSpan w:val="7"/>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r>
      <w:tr>
        <w:trPr>
          <w:trHeight w:val="300" w:hRule="atLeast"/>
          <w:cantSplit w:val="false"/>
        </w:trPr>
        <w:tc>
          <w:tcPr>
            <w:tcW w:w="4940" w:type="dxa"/>
            <w:gridSpan w:val="4"/>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t xml:space="preserve"> </w:t>
            </w:r>
            <w:r>
              <w:rPr>
                <w:rFonts w:eastAsia="Times New Roman" w:cs="Times New Roman"/>
                <w:color w:val="000000"/>
                <w:lang w:eastAsia="fr-FR"/>
              </w:rPr>
              <w:t xml:space="preserve">ENR =  Energies renouvelables </w:t>
            </w:r>
          </w:p>
        </w:tc>
        <w:tc>
          <w:tcPr>
            <w:tcW w:w="314"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359"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c>
          <w:tcPr>
            <w:tcW w:w="1206" w:type="dxa"/>
            <w:gridSpan w:val="6"/>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r>
      <w:tr>
        <w:trPr>
          <w:trHeight w:val="300" w:hRule="atLeast"/>
          <w:cantSplit w:val="false"/>
        </w:trPr>
        <w:tc>
          <w:tcPr>
            <w:tcW w:w="24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73"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4"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359"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c>
          <w:tcPr>
            <w:tcW w:w="1207" w:type="dxa"/>
            <w:gridSpan w:val="7"/>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r>
      <w:tr>
        <w:trPr>
          <w:trHeight w:val="300" w:hRule="atLeast"/>
          <w:cantSplit w:val="false"/>
        </w:trPr>
        <w:tc>
          <w:tcPr>
            <w:tcW w:w="24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73"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4"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359"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c>
          <w:tcPr>
            <w:tcW w:w="1207" w:type="dxa"/>
            <w:gridSpan w:val="7"/>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r>
      <w:tr>
        <w:trPr>
          <w:trHeight w:val="300" w:hRule="atLeast"/>
          <w:cantSplit w:val="false"/>
        </w:trPr>
        <w:tc>
          <w:tcPr>
            <w:tcW w:w="24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73"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4"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359"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c>
          <w:tcPr>
            <w:tcW w:w="1207" w:type="dxa"/>
            <w:gridSpan w:val="7"/>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r>
      <w:tr>
        <w:trPr>
          <w:trHeight w:val="300" w:hRule="atLeast"/>
          <w:cantSplit w:val="false"/>
        </w:trPr>
        <w:tc>
          <w:tcPr>
            <w:tcW w:w="24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73"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4"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359"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c>
          <w:tcPr>
            <w:tcW w:w="1207" w:type="dxa"/>
            <w:gridSpan w:val="7"/>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r>
      <w:tr>
        <w:trPr>
          <w:trHeight w:val="300" w:hRule="atLeast"/>
          <w:cantSplit w:val="false"/>
        </w:trPr>
        <w:tc>
          <w:tcPr>
            <w:tcW w:w="24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73"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4"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359"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c>
          <w:tcPr>
            <w:tcW w:w="1207" w:type="dxa"/>
            <w:gridSpan w:val="7"/>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r>
      <w:tr>
        <w:trPr>
          <w:trHeight w:val="300" w:hRule="atLeast"/>
          <w:cantSplit w:val="false"/>
        </w:trPr>
        <w:tc>
          <w:tcPr>
            <w:tcW w:w="24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73"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4"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359"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c>
          <w:tcPr>
            <w:tcW w:w="1207" w:type="dxa"/>
            <w:gridSpan w:val="7"/>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r>
      <w:tr>
        <w:trPr>
          <w:trHeight w:val="300" w:hRule="atLeast"/>
          <w:cantSplit w:val="false"/>
        </w:trPr>
        <w:tc>
          <w:tcPr>
            <w:tcW w:w="24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73"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4" w:type="dxa"/>
            <w:gridSpan w:val="2"/>
            <w:tcBorders>
              <w:top w:val="nil"/>
              <w:left w:val="nil"/>
              <w:bottom w:val="nil"/>
              <w:insideH w:val="nil"/>
              <w:right w:val="nil"/>
              <w:insideV w:val="nil"/>
            </w:tcBorders>
            <w:shd w:fill="FFFFFF" w:val="clear"/>
            <w:vAlign w:val="bottom"/>
          </w:tcPr>
          <w:p>
            <w:pPr>
              <w:pStyle w:val="Normal"/>
              <w:spacing w:lineRule="auto" w:line="240" w:before="0" w:after="0"/>
              <w:rPr/>
            </w:pPr>
            <w:r>
              <w:rPr/>
              <w:drawing>
                <wp:inline distT="0" distB="0" distL="0" distR="0">
                  <wp:extent cx="3135630" cy="3293110"/>
                  <wp:effectExtent l="0" t="0" r="0" b="0"/>
                  <wp:docPr id="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160"/>
            </w:tblGrid>
            <w:tr>
              <w:trPr>
                <w:trHeight w:val="300" w:hRule="atLeast"/>
                <w:cantSplit w:val="false"/>
              </w:trPr>
              <w:tc>
                <w:tcPr>
                  <w:tcW w:w="160"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bl>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359"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c>
          <w:tcPr>
            <w:tcW w:w="1207" w:type="dxa"/>
            <w:gridSpan w:val="7"/>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r>
      <w:tr>
        <w:trPr>
          <w:trHeight w:val="300" w:hRule="atLeast"/>
          <w:cantSplit w:val="false"/>
        </w:trPr>
        <w:tc>
          <w:tcPr>
            <w:tcW w:w="24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73"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4"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359"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c>
          <w:tcPr>
            <w:tcW w:w="1207" w:type="dxa"/>
            <w:gridSpan w:val="7"/>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r>
      <w:tr>
        <w:trPr>
          <w:trHeight w:val="315" w:hRule="atLeast"/>
          <w:cantSplit w:val="false"/>
        </w:trPr>
        <w:tc>
          <w:tcPr>
            <w:tcW w:w="24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73"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4"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359"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c>
          <w:tcPr>
            <w:tcW w:w="1207" w:type="dxa"/>
            <w:gridSpan w:val="7"/>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r>
      <w:tr>
        <w:trPr>
          <w:trHeight w:val="315" w:hRule="atLeast"/>
          <w:cantSplit w:val="false"/>
        </w:trPr>
        <w:tc>
          <w:tcPr>
            <w:tcW w:w="2407" w:type="dxa"/>
            <w:tcBorders>
              <w:top w:val="single" w:sz="8" w:space="0" w:color="00000A"/>
              <w:left w:val="single" w:sz="8" w:space="0" w:color="00000A"/>
              <w:bottom w:val="single" w:sz="8" w:space="0" w:color="00000A"/>
              <w:insideH w:val="single" w:sz="8"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Utilisation</w:t>
            </w:r>
          </w:p>
        </w:tc>
        <w:tc>
          <w:tcPr>
            <w:tcW w:w="1259" w:type="dxa"/>
            <w:tcBorders>
              <w:top w:val="single" w:sz="8" w:space="0" w:color="00000A"/>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Mtep </w:t>
            </w:r>
          </w:p>
        </w:tc>
        <w:tc>
          <w:tcPr>
            <w:tcW w:w="1273" w:type="dxa"/>
            <w:tcBorders>
              <w:top w:val="single" w:sz="8" w:space="0" w:color="00000A"/>
              <w:left w:val="nil"/>
              <w:bottom w:val="single" w:sz="8" w:space="0" w:color="00000A"/>
              <w:insideH w:val="single" w:sz="8"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w:t>
            </w:r>
          </w:p>
        </w:tc>
        <w:tc>
          <w:tcPr>
            <w:tcW w:w="314"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359"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c>
          <w:tcPr>
            <w:tcW w:w="1207" w:type="dxa"/>
            <w:gridSpan w:val="7"/>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r>
      <w:tr>
        <w:trPr>
          <w:trHeight w:val="300" w:hRule="atLeast"/>
          <w:cantSplit w:val="false"/>
        </w:trPr>
        <w:tc>
          <w:tcPr>
            <w:tcW w:w="2407" w:type="dxa"/>
            <w:tcBorders>
              <w:top w:val="single" w:sz="4" w:space="0" w:color="00000A"/>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Industrie</w:t>
            </w:r>
          </w:p>
        </w:tc>
        <w:tc>
          <w:tcPr>
            <w:tcW w:w="1259"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61,31   </w:t>
            </w:r>
          </w:p>
        </w:tc>
        <w:tc>
          <w:tcPr>
            <w:tcW w:w="1273" w:type="dxa"/>
            <w:tcBorders>
              <w:top w:val="single" w:sz="4" w:space="0" w:color="00000A"/>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29,0%</w:t>
            </w:r>
          </w:p>
        </w:tc>
        <w:tc>
          <w:tcPr>
            <w:tcW w:w="314"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359"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c>
          <w:tcPr>
            <w:tcW w:w="1207" w:type="dxa"/>
            <w:gridSpan w:val="7"/>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r>
      <w:tr>
        <w:trPr>
          <w:trHeight w:val="300" w:hRule="atLeast"/>
          <w:cantSplit w:val="false"/>
        </w:trPr>
        <w:tc>
          <w:tcPr>
            <w:tcW w:w="2407"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Transports</w:t>
            </w:r>
          </w:p>
        </w:tc>
        <w:tc>
          <w:tcPr>
            <w:tcW w:w="125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62,33   </w:t>
            </w:r>
          </w:p>
        </w:tc>
        <w:tc>
          <w:tcPr>
            <w:tcW w:w="1273"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29,5%</w:t>
            </w:r>
          </w:p>
        </w:tc>
        <w:tc>
          <w:tcPr>
            <w:tcW w:w="314"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359"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c>
          <w:tcPr>
            <w:tcW w:w="1207" w:type="dxa"/>
            <w:gridSpan w:val="7"/>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r>
      <w:tr>
        <w:trPr>
          <w:trHeight w:val="300" w:hRule="atLeast"/>
          <w:cantSplit w:val="false"/>
        </w:trPr>
        <w:tc>
          <w:tcPr>
            <w:tcW w:w="2407"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Résidentiel</w:t>
            </w:r>
          </w:p>
        </w:tc>
        <w:tc>
          <w:tcPr>
            <w:tcW w:w="125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54,48   </w:t>
            </w:r>
          </w:p>
        </w:tc>
        <w:tc>
          <w:tcPr>
            <w:tcW w:w="1273"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25,8%</w:t>
            </w:r>
          </w:p>
        </w:tc>
        <w:tc>
          <w:tcPr>
            <w:tcW w:w="314"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359"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c>
          <w:tcPr>
            <w:tcW w:w="1207" w:type="dxa"/>
            <w:gridSpan w:val="7"/>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r>
      <w:tr>
        <w:trPr>
          <w:trHeight w:val="315" w:hRule="atLeast"/>
          <w:cantSplit w:val="false"/>
        </w:trPr>
        <w:tc>
          <w:tcPr>
            <w:tcW w:w="2407"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Tertiaire</w:t>
            </w:r>
          </w:p>
        </w:tc>
        <w:tc>
          <w:tcPr>
            <w:tcW w:w="125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33,15   </w:t>
            </w:r>
          </w:p>
        </w:tc>
        <w:tc>
          <w:tcPr>
            <w:tcW w:w="1273"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15,7%</w:t>
            </w:r>
          </w:p>
        </w:tc>
        <w:tc>
          <w:tcPr>
            <w:tcW w:w="314"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359"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c>
          <w:tcPr>
            <w:tcW w:w="1207" w:type="dxa"/>
            <w:gridSpan w:val="7"/>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r>
      <w:tr>
        <w:trPr>
          <w:trHeight w:val="315" w:hRule="atLeast"/>
          <w:cantSplit w:val="false"/>
        </w:trPr>
        <w:tc>
          <w:tcPr>
            <w:tcW w:w="2407" w:type="dxa"/>
            <w:tcBorders>
              <w:top w:val="single" w:sz="8" w:space="0" w:color="00000A"/>
              <w:left w:val="single" w:sz="8" w:space="0" w:color="00000A"/>
              <w:bottom w:val="single" w:sz="8" w:space="0" w:color="00000A"/>
              <w:insideH w:val="single" w:sz="8"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Total</w:t>
            </w:r>
          </w:p>
        </w:tc>
        <w:tc>
          <w:tcPr>
            <w:tcW w:w="1259" w:type="dxa"/>
            <w:tcBorders>
              <w:top w:val="single" w:sz="8" w:space="0" w:color="00000A"/>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211,27   </w:t>
            </w:r>
          </w:p>
        </w:tc>
        <w:tc>
          <w:tcPr>
            <w:tcW w:w="1273"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100,0%</w:t>
            </w:r>
          </w:p>
        </w:tc>
        <w:tc>
          <w:tcPr>
            <w:tcW w:w="314"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359"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c>
          <w:tcPr>
            <w:tcW w:w="1207" w:type="dxa"/>
            <w:gridSpan w:val="7"/>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r>
      <w:tr>
        <w:trPr>
          <w:trHeight w:val="300" w:hRule="atLeast"/>
          <w:cantSplit w:val="false"/>
        </w:trPr>
        <w:tc>
          <w:tcPr>
            <w:tcW w:w="24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73"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4"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359"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c>
          <w:tcPr>
            <w:tcW w:w="1207" w:type="dxa"/>
            <w:gridSpan w:val="7"/>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r>
      <w:tr>
        <w:trPr>
          <w:trHeight w:val="300" w:hRule="atLeast"/>
          <w:cantSplit w:val="false"/>
        </w:trPr>
        <w:tc>
          <w:tcPr>
            <w:tcW w:w="24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73"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4"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359"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c>
          <w:tcPr>
            <w:tcW w:w="1207" w:type="dxa"/>
            <w:gridSpan w:val="7"/>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r>
      <w:tr>
        <w:trPr>
          <w:trHeight w:val="300" w:hRule="atLeast"/>
          <w:cantSplit w:val="false"/>
        </w:trPr>
        <w:tc>
          <w:tcPr>
            <w:tcW w:w="24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73"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4"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359"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c>
          <w:tcPr>
            <w:tcW w:w="1207" w:type="dxa"/>
            <w:gridSpan w:val="7"/>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r>
      <w:tr>
        <w:trPr>
          <w:trHeight w:val="300" w:hRule="atLeast"/>
          <w:cantSplit w:val="false"/>
        </w:trPr>
        <w:tc>
          <w:tcPr>
            <w:tcW w:w="24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73"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4"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359"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c>
          <w:tcPr>
            <w:tcW w:w="1207" w:type="dxa"/>
            <w:gridSpan w:val="7"/>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r>
      <w:tr>
        <w:trPr>
          <w:trHeight w:val="300" w:hRule="atLeast"/>
          <w:cantSplit w:val="false"/>
        </w:trPr>
        <w:tc>
          <w:tcPr>
            <w:tcW w:w="24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73"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4"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359"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c>
          <w:tcPr>
            <w:tcW w:w="1207" w:type="dxa"/>
            <w:gridSpan w:val="7"/>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r>
      <w:tr>
        <w:trPr>
          <w:trHeight w:val="300" w:hRule="atLeast"/>
          <w:cantSplit w:val="false"/>
        </w:trPr>
        <w:tc>
          <w:tcPr>
            <w:tcW w:w="24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73"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4"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359"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c>
          <w:tcPr>
            <w:tcW w:w="1207" w:type="dxa"/>
            <w:gridSpan w:val="7"/>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r>
      <w:tr>
        <w:trPr>
          <w:trHeight w:val="300" w:hRule="atLeast"/>
          <w:cantSplit w:val="false"/>
        </w:trPr>
        <w:tc>
          <w:tcPr>
            <w:tcW w:w="24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73"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4"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359"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c>
          <w:tcPr>
            <w:tcW w:w="1207" w:type="dxa"/>
            <w:gridSpan w:val="7"/>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r>
      <w:tr>
        <w:trPr>
          <w:trHeight w:val="300" w:hRule="atLeast"/>
          <w:cantSplit w:val="false"/>
        </w:trPr>
        <w:tc>
          <w:tcPr>
            <w:tcW w:w="24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73"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4"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359"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c>
          <w:tcPr>
            <w:tcW w:w="1207" w:type="dxa"/>
            <w:gridSpan w:val="7"/>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r>
      <w:tr>
        <w:trPr>
          <w:trHeight w:val="300" w:hRule="atLeast"/>
          <w:cantSplit w:val="false"/>
        </w:trPr>
        <w:tc>
          <w:tcPr>
            <w:tcW w:w="240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5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273"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314"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359"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gridSpan w:val="2"/>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c>
          <w:tcPr>
            <w:tcW w:w="1207" w:type="dxa"/>
            <w:gridSpan w:val="7"/>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r>
      <w:tr>
        <w:trPr>
          <w:trHeight w:val="300" w:hRule="atLeast"/>
          <w:cantSplit w:val="false"/>
        </w:trPr>
        <w:tc>
          <w:tcPr>
            <w:tcW w:w="8671" w:type="dxa"/>
            <w:gridSpan w:val="17"/>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Arial" w:ascii="Arial" w:hAnsi="Arial"/>
                <w:i/>
                <w:iCs/>
                <w:color w:val="000000"/>
                <w:lang w:eastAsia="fr-FR"/>
              </w:rPr>
            </w:pPr>
            <w:r>
              <w:rPr>
                <w:rFonts w:eastAsia="Times New Roman" w:cs="Arial" w:ascii="Arial" w:hAnsi="Arial"/>
                <w:i/>
                <w:iCs/>
                <w:color w:val="000000"/>
                <w:lang w:eastAsia="fr-FR"/>
              </w:rPr>
              <w:t xml:space="preserve"> </w:t>
            </w:r>
            <w:r>
              <w:rPr>
                <w:rFonts w:eastAsia="Times New Roman" w:cs="Arial" w:ascii="Arial" w:hAnsi="Arial"/>
                <w:i/>
                <w:iCs/>
                <w:color w:val="000000"/>
                <w:lang w:eastAsia="fr-FR"/>
              </w:rPr>
              <w:t xml:space="preserve">Source : Arbeit Gemeinschaft Energie Bilanzen </w:t>
            </w:r>
          </w:p>
        </w:tc>
        <w:tc>
          <w:tcPr>
            <w:tcW w:w="146"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5"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6" w:type="dxa"/>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c>
          <w:tcPr>
            <w:tcW w:w="148" w:type="dxa"/>
            <w:tcBorders>
              <w:top w:val="nil"/>
              <w:left w:val="nil"/>
              <w:bottom w:val="nil"/>
              <w:insideH w:val="nil"/>
              <w:right w:val="nil"/>
              <w:insideV w:val="nil"/>
            </w:tcBorders>
            <w:shd w:fill="auto" w:val="clear"/>
            <w:vAlign w:val="center"/>
          </w:tcPr>
          <w:p>
            <w:pPr>
              <w:pStyle w:val="Normal"/>
              <w:spacing w:lineRule="auto" w:line="240" w:before="0" w:after="0"/>
              <w:rPr>
                <w:rFonts w:eastAsia="Times New Roman" w:cs="Times New Roman" w:ascii="Times New Roman" w:hAnsi="Times New Roman"/>
                <w:sz w:val="20"/>
                <w:szCs w:val="20"/>
                <w:lang w:eastAsia="fr-FR"/>
              </w:rPr>
            </w:pPr>
            <w:r>
              <w:rPr>
                <w:rFonts w:eastAsia="Times New Roman" w:cs="Times New Roman" w:ascii="Times New Roman" w:hAnsi="Times New Roman"/>
                <w:sz w:val="20"/>
                <w:szCs w:val="20"/>
                <w:lang w:eastAsia="fr-FR"/>
              </w:rPr>
            </w:r>
          </w:p>
        </w:tc>
      </w:tr>
    </w:tbl>
    <w:p>
      <w:pPr>
        <w:pStyle w:val="Normal"/>
        <w:rPr/>
      </w:pPr>
      <w:r>
        <w:rPr/>
      </w:r>
    </w:p>
    <w:p>
      <w:pPr>
        <w:pStyle w:val="Normal"/>
        <w:rPr/>
      </w:pPr>
      <w:r>
        <w:rPr/>
      </w:r>
    </w:p>
    <w:p>
      <w:pPr>
        <w:pStyle w:val="Normal"/>
        <w:rPr/>
      </w:pPr>
      <w:r>
        <w:rPr/>
      </w:r>
    </w:p>
    <w:p>
      <w:pPr>
        <w:pStyle w:val="Normal"/>
        <w:rPr/>
      </w:pPr>
      <w:r>
        <w:rPr/>
      </w:r>
    </w:p>
    <w:tbl>
      <w:tblPr>
        <w:jc w:val="left"/>
        <w:tblInd w:w="70" w:type="dxa"/>
        <w:tblBorders>
          <w:top w:val="nil"/>
          <w:left w:val="nil"/>
          <w:bottom w:val="nil"/>
          <w:insideH w:val="nil"/>
          <w:right w:val="nil"/>
          <w:insideV w:val="nil"/>
        </w:tblBorders>
        <w:tblCellMar>
          <w:top w:w="0" w:type="dxa"/>
          <w:left w:w="70" w:type="dxa"/>
          <w:bottom w:w="0" w:type="dxa"/>
          <w:right w:w="70" w:type="dxa"/>
        </w:tblCellMar>
      </w:tblPr>
      <w:tblGrid>
        <w:gridCol w:w="2882"/>
        <w:gridCol w:w="1976"/>
        <w:gridCol w:w="685"/>
        <w:gridCol w:w="2"/>
        <w:gridCol w:w="1648"/>
        <w:gridCol w:w="2"/>
        <w:gridCol w:w="1373"/>
      </w:tblGrid>
      <w:tr>
        <w:trPr>
          <w:trHeight w:val="360" w:hRule="atLeast"/>
          <w:cantSplit w:val="false"/>
        </w:trPr>
        <w:tc>
          <w:tcPr>
            <w:tcW w:w="5545" w:type="dxa"/>
            <w:gridSpan w:val="4"/>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Arial" w:ascii="Arial" w:hAnsi="Arial"/>
                <w:b/>
                <w:bCs/>
                <w:color w:val="000000"/>
                <w:sz w:val="28"/>
                <w:szCs w:val="28"/>
                <w:lang w:eastAsia="fr-FR"/>
              </w:rPr>
            </w:pPr>
            <w:r>
              <w:rPr>
                <w:rFonts w:eastAsia="Times New Roman" w:cs="Arial" w:ascii="Arial" w:hAnsi="Arial"/>
                <w:b/>
                <w:bCs/>
                <w:color w:val="000000"/>
                <w:sz w:val="28"/>
                <w:szCs w:val="28"/>
                <w:lang w:eastAsia="fr-FR"/>
              </w:rPr>
              <w:t xml:space="preserve">Tableau 4 : Allemagne 2015 - Electricité </w:t>
            </w:r>
          </w:p>
        </w:tc>
        <w:tc>
          <w:tcPr>
            <w:tcW w:w="1650"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73"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60" w:hRule="atLeast"/>
          <w:cantSplit w:val="false"/>
        </w:trPr>
        <w:tc>
          <w:tcPr>
            <w:tcW w:w="7195" w:type="dxa"/>
            <w:gridSpan w:val="6"/>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Arial" w:ascii="Arial" w:hAnsi="Arial"/>
                <w:b/>
                <w:bCs/>
                <w:color w:val="000000"/>
                <w:sz w:val="28"/>
                <w:szCs w:val="28"/>
                <w:lang w:eastAsia="fr-FR"/>
              </w:rPr>
            </w:pPr>
            <w:r>
              <w:rPr>
                <w:rFonts w:eastAsia="Times New Roman" w:cs="Arial" w:ascii="Arial" w:hAnsi="Arial"/>
                <w:b/>
                <w:bCs/>
                <w:color w:val="000000"/>
                <w:sz w:val="28"/>
                <w:szCs w:val="28"/>
                <w:lang w:eastAsia="fr-FR"/>
              </w:rPr>
              <w:t>Puissance installée MW et production TWh</w:t>
            </w:r>
          </w:p>
        </w:tc>
        <w:tc>
          <w:tcPr>
            <w:tcW w:w="1373"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15" w:hRule="atLeast"/>
          <w:cantSplit w:val="false"/>
        </w:trPr>
        <w:tc>
          <w:tcPr>
            <w:tcW w:w="288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68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650"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7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882" w:type="dxa"/>
            <w:tcBorders>
              <w:top w:val="single" w:sz="8" w:space="0" w:color="00000A"/>
              <w:left w:val="single" w:sz="8" w:space="0" w:color="00000A"/>
              <w:bottom w:val="nil"/>
              <w:insideH w:val="nil"/>
              <w:right w:val="single" w:sz="8" w:space="0" w:color="00000A"/>
              <w:insideV w:val="single" w:sz="8" w:space="0" w:color="00000A"/>
            </w:tcBorders>
            <w:shd w:fill="FFFFFF" w:val="clear"/>
            <w:tcMar>
              <w:left w:w="60" w:type="dxa"/>
            </w:tcM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t>Sources d'énergie</w:t>
            </w:r>
          </w:p>
        </w:tc>
        <w:tc>
          <w:tcPr>
            <w:tcW w:w="1976" w:type="dxa"/>
            <w:tcBorders>
              <w:top w:val="single" w:sz="8" w:space="0" w:color="00000A"/>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Puissance installée</w:t>
            </w:r>
          </w:p>
        </w:tc>
        <w:tc>
          <w:tcPr>
            <w:tcW w:w="685" w:type="dxa"/>
            <w:tcBorders>
              <w:top w:val="single" w:sz="8" w:space="0" w:color="00000A"/>
              <w:left w:val="nil"/>
              <w:bottom w:val="nil"/>
              <w:insideH w:val="nil"/>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 </w:t>
            </w:r>
          </w:p>
        </w:tc>
        <w:tc>
          <w:tcPr>
            <w:tcW w:w="3025" w:type="dxa"/>
            <w:gridSpan w:val="4"/>
            <w:tcBorders>
              <w:top w:val="single" w:sz="8" w:space="0" w:color="00000A"/>
              <w:left w:val="single" w:sz="8" w:space="0" w:color="00000A"/>
              <w:bottom w:val="nil"/>
              <w:insideH w:val="nil"/>
              <w:right w:val="single" w:sz="8" w:space="0" w:color="000001"/>
              <w:insideV w:val="single" w:sz="8" w:space="0" w:color="000001"/>
            </w:tcBorders>
            <w:shd w:fill="FFFFFF" w:val="clear"/>
            <w:tcMar>
              <w:left w:w="60" w:type="dxa"/>
            </w:tcM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t>Production d'électricité</w:t>
            </w:r>
          </w:p>
        </w:tc>
      </w:tr>
      <w:tr>
        <w:trPr>
          <w:trHeight w:val="315" w:hRule="atLeast"/>
          <w:cantSplit w:val="false"/>
        </w:trPr>
        <w:tc>
          <w:tcPr>
            <w:tcW w:w="2882" w:type="dxa"/>
            <w:tcBorders>
              <w:top w:val="nil"/>
              <w:left w:val="single" w:sz="8" w:space="0" w:color="00000A"/>
              <w:bottom w:val="single" w:sz="8" w:space="0" w:color="00000A"/>
              <w:insideH w:val="single" w:sz="8" w:space="0" w:color="00000A"/>
              <w:right w:val="single" w:sz="8" w:space="0" w:color="00000A"/>
              <w:insideV w:val="single" w:sz="8" w:space="0" w:color="00000A"/>
            </w:tcBorders>
            <w:shd w:fill="FFFFFF" w:val="clear"/>
            <w:tcMar>
              <w:left w:w="60" w:type="dxa"/>
            </w:tcM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t> </w:t>
            </w:r>
          </w:p>
        </w:tc>
        <w:tc>
          <w:tcPr>
            <w:tcW w:w="1976" w:type="dxa"/>
            <w:tcBorders>
              <w:top w:val="nil"/>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MW</w:t>
            </w:r>
          </w:p>
        </w:tc>
        <w:tc>
          <w:tcPr>
            <w:tcW w:w="685" w:type="dxa"/>
            <w:tcBorders>
              <w:top w:val="nil"/>
              <w:left w:val="nil"/>
              <w:bottom w:val="single" w:sz="8" w:space="0" w:color="00000A"/>
              <w:insideH w:val="single" w:sz="8"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w:t>
            </w:r>
          </w:p>
        </w:tc>
        <w:tc>
          <w:tcPr>
            <w:tcW w:w="1650" w:type="dxa"/>
            <w:gridSpan w:val="2"/>
            <w:tcBorders>
              <w:top w:val="nil"/>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TWh</w:t>
            </w:r>
          </w:p>
        </w:tc>
        <w:tc>
          <w:tcPr>
            <w:tcW w:w="1375" w:type="dxa"/>
            <w:gridSpan w:val="2"/>
            <w:tcBorders>
              <w:top w:val="nil"/>
              <w:left w:val="nil"/>
              <w:bottom w:val="single" w:sz="8" w:space="0" w:color="00000A"/>
              <w:insideH w:val="single" w:sz="8"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w:t>
            </w:r>
          </w:p>
        </w:tc>
      </w:tr>
      <w:tr>
        <w:trPr>
          <w:trHeight w:val="300" w:hRule="atLeast"/>
          <w:cantSplit w:val="false"/>
        </w:trPr>
        <w:tc>
          <w:tcPr>
            <w:tcW w:w="2882" w:type="dxa"/>
            <w:tcBorders>
              <w:top w:val="nil"/>
              <w:left w:val="single" w:sz="8" w:space="0" w:color="00000A"/>
              <w:bottom w:val="single" w:sz="4" w:space="0" w:color="00000A"/>
              <w:insideH w:val="single" w:sz="4" w:space="0" w:color="00000A"/>
              <w:right w:val="single" w:sz="8" w:space="0" w:color="00000A"/>
              <w:insideV w:val="single" w:sz="8" w:space="0" w:color="00000A"/>
            </w:tcBorders>
            <w:shd w:fill="FFFFFF" w:val="clear"/>
            <w:tcMar>
              <w:left w:w="60" w:type="dxa"/>
            </w:tcM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t>Nucléaire</w:t>
            </w:r>
          </w:p>
        </w:tc>
        <w:tc>
          <w:tcPr>
            <w:tcW w:w="1976"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10 793</w:t>
            </w:r>
          </w:p>
        </w:tc>
        <w:tc>
          <w:tcPr>
            <w:tcW w:w="685"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5,4%</w:t>
            </w:r>
          </w:p>
        </w:tc>
        <w:tc>
          <w:tcPr>
            <w:tcW w:w="1650"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91,8</w:t>
            </w:r>
          </w:p>
        </w:tc>
        <w:tc>
          <w:tcPr>
            <w:tcW w:w="1375" w:type="dxa"/>
            <w:gridSpan w:val="2"/>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14,8%</w:t>
            </w:r>
          </w:p>
        </w:tc>
      </w:tr>
      <w:tr>
        <w:trPr>
          <w:trHeight w:val="300" w:hRule="atLeast"/>
          <w:cantSplit w:val="false"/>
        </w:trPr>
        <w:tc>
          <w:tcPr>
            <w:tcW w:w="2882" w:type="dxa"/>
            <w:tcBorders>
              <w:top w:val="nil"/>
              <w:left w:val="single" w:sz="8" w:space="0" w:color="00000A"/>
              <w:bottom w:val="single" w:sz="4" w:space="0" w:color="00000A"/>
              <w:insideH w:val="single" w:sz="4" w:space="0" w:color="00000A"/>
              <w:right w:val="single" w:sz="8" w:space="0" w:color="00000A"/>
              <w:insideV w:val="single" w:sz="8" w:space="0" w:color="00000A"/>
            </w:tcBorders>
            <w:shd w:fill="FFFFFF" w:val="clear"/>
            <w:tcMar>
              <w:left w:w="60" w:type="dxa"/>
            </w:tcM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t>Hydraulique</w:t>
            </w:r>
          </w:p>
        </w:tc>
        <w:tc>
          <w:tcPr>
            <w:tcW w:w="1976"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14 739</w:t>
            </w:r>
          </w:p>
        </w:tc>
        <w:tc>
          <w:tcPr>
            <w:tcW w:w="685"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7,4%</w:t>
            </w:r>
          </w:p>
        </w:tc>
        <w:tc>
          <w:tcPr>
            <w:tcW w:w="1650"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19,44</w:t>
            </w:r>
          </w:p>
        </w:tc>
        <w:tc>
          <w:tcPr>
            <w:tcW w:w="1375" w:type="dxa"/>
            <w:gridSpan w:val="2"/>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3,1%</w:t>
            </w:r>
          </w:p>
        </w:tc>
      </w:tr>
      <w:tr>
        <w:trPr>
          <w:trHeight w:val="300" w:hRule="atLeast"/>
          <w:cantSplit w:val="false"/>
        </w:trPr>
        <w:tc>
          <w:tcPr>
            <w:tcW w:w="2882" w:type="dxa"/>
            <w:tcBorders>
              <w:top w:val="nil"/>
              <w:left w:val="single" w:sz="8" w:space="0" w:color="00000A"/>
              <w:bottom w:val="single" w:sz="4" w:space="0" w:color="00000A"/>
              <w:insideH w:val="single" w:sz="4" w:space="0" w:color="00000A"/>
              <w:right w:val="single" w:sz="8" w:space="0" w:color="00000A"/>
              <w:insideV w:val="single" w:sz="8" w:space="0" w:color="00000A"/>
            </w:tcBorders>
            <w:shd w:fill="FFFFFF" w:val="clear"/>
            <w:tcMar>
              <w:left w:w="60" w:type="dxa"/>
            </w:tcM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t>Fossiles</w:t>
            </w:r>
          </w:p>
        </w:tc>
        <w:tc>
          <w:tcPr>
            <w:tcW w:w="1976"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 </w:t>
            </w:r>
          </w:p>
        </w:tc>
        <w:tc>
          <w:tcPr>
            <w:tcW w:w="685"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 </w:t>
            </w:r>
          </w:p>
        </w:tc>
        <w:tc>
          <w:tcPr>
            <w:tcW w:w="1650"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 </w:t>
            </w:r>
          </w:p>
        </w:tc>
        <w:tc>
          <w:tcPr>
            <w:tcW w:w="1375" w:type="dxa"/>
            <w:gridSpan w:val="2"/>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 </w:t>
            </w:r>
          </w:p>
        </w:tc>
      </w:tr>
      <w:tr>
        <w:trPr>
          <w:trHeight w:val="300" w:hRule="atLeast"/>
          <w:cantSplit w:val="false"/>
        </w:trPr>
        <w:tc>
          <w:tcPr>
            <w:tcW w:w="2882" w:type="dxa"/>
            <w:tcBorders>
              <w:top w:val="nil"/>
              <w:left w:val="single" w:sz="8" w:space="0" w:color="00000A"/>
              <w:bottom w:val="single" w:sz="4" w:space="0" w:color="00000A"/>
              <w:insideH w:val="single" w:sz="4" w:space="0" w:color="00000A"/>
              <w:right w:val="single" w:sz="8" w:space="0" w:color="00000A"/>
              <w:insideV w:val="single" w:sz="8" w:space="0" w:color="00000A"/>
            </w:tcBorders>
            <w:shd w:fill="FFFFFF" w:val="clear"/>
            <w:tcMar>
              <w:left w:w="60" w:type="dxa"/>
            </w:tcMar>
            <w:vAlign w:val="bottom"/>
          </w:tcPr>
          <w:p>
            <w:pPr>
              <w:pStyle w:val="Normal"/>
              <w:spacing w:lineRule="auto" w:line="240" w:before="0" w:after="0"/>
              <w:jc w:val="right"/>
              <w:rPr>
                <w:rFonts w:eastAsia="Times New Roman" w:cs="Times New Roman"/>
                <w:color w:val="00B0F0"/>
                <w:lang w:eastAsia="fr-FR"/>
              </w:rPr>
            </w:pPr>
            <w:r>
              <w:rPr>
                <w:rFonts w:eastAsia="Times New Roman" w:cs="Times New Roman"/>
                <w:color w:val="00B0F0"/>
                <w:lang w:eastAsia="fr-FR"/>
              </w:rPr>
              <w:t>Gaz</w:t>
            </w:r>
          </w:p>
        </w:tc>
        <w:tc>
          <w:tcPr>
            <w:tcW w:w="1976"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B0F0"/>
                <w:lang w:eastAsia="fr-FR"/>
              </w:rPr>
            </w:pPr>
            <w:r>
              <w:rPr>
                <w:rFonts w:eastAsia="Times New Roman" w:cs="Times New Roman"/>
                <w:color w:val="00B0F0"/>
                <w:lang w:eastAsia="fr-FR"/>
              </w:rPr>
              <w:t>28 540</w:t>
            </w:r>
          </w:p>
        </w:tc>
        <w:tc>
          <w:tcPr>
            <w:tcW w:w="685"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B0F0"/>
                <w:lang w:eastAsia="fr-FR"/>
              </w:rPr>
            </w:pPr>
            <w:r>
              <w:rPr>
                <w:rFonts w:eastAsia="Times New Roman" w:cs="Times New Roman"/>
                <w:color w:val="00B0F0"/>
                <w:lang w:eastAsia="fr-FR"/>
              </w:rPr>
              <w:t>14,3%</w:t>
            </w:r>
          </w:p>
        </w:tc>
        <w:tc>
          <w:tcPr>
            <w:tcW w:w="1650"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B0F0"/>
                <w:lang w:eastAsia="fr-FR"/>
              </w:rPr>
            </w:pPr>
            <w:r>
              <w:rPr>
                <w:rFonts w:eastAsia="Times New Roman" w:cs="Times New Roman"/>
                <w:color w:val="00B0F0"/>
                <w:lang w:eastAsia="fr-FR"/>
              </w:rPr>
              <w:t>59,6</w:t>
            </w:r>
          </w:p>
        </w:tc>
        <w:tc>
          <w:tcPr>
            <w:tcW w:w="1375" w:type="dxa"/>
            <w:gridSpan w:val="2"/>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B0F0"/>
                <w:lang w:eastAsia="fr-FR"/>
              </w:rPr>
            </w:pPr>
            <w:r>
              <w:rPr>
                <w:rFonts w:eastAsia="Times New Roman" w:cs="Times New Roman"/>
                <w:color w:val="00B0F0"/>
                <w:lang w:eastAsia="fr-FR"/>
              </w:rPr>
              <w:t>9,6%</w:t>
            </w:r>
          </w:p>
        </w:tc>
      </w:tr>
      <w:tr>
        <w:trPr>
          <w:trHeight w:val="300" w:hRule="atLeast"/>
          <w:cantSplit w:val="false"/>
        </w:trPr>
        <w:tc>
          <w:tcPr>
            <w:tcW w:w="2882" w:type="dxa"/>
            <w:tcBorders>
              <w:top w:val="nil"/>
              <w:left w:val="single" w:sz="8" w:space="0" w:color="00000A"/>
              <w:bottom w:val="single" w:sz="4" w:space="0" w:color="00000A"/>
              <w:insideH w:val="single" w:sz="4" w:space="0" w:color="00000A"/>
              <w:right w:val="single" w:sz="8" w:space="0" w:color="00000A"/>
              <w:insideV w:val="single" w:sz="8" w:space="0" w:color="00000A"/>
            </w:tcBorders>
            <w:shd w:fill="FFFFFF" w:val="clear"/>
            <w:tcMar>
              <w:left w:w="60" w:type="dxa"/>
            </w:tcMar>
            <w:vAlign w:val="bottom"/>
          </w:tcPr>
          <w:p>
            <w:pPr>
              <w:pStyle w:val="Normal"/>
              <w:spacing w:lineRule="auto" w:line="240" w:before="0" w:after="0"/>
              <w:jc w:val="right"/>
              <w:rPr>
                <w:rFonts w:eastAsia="Times New Roman" w:cs="Times New Roman"/>
                <w:color w:val="00B0F0"/>
                <w:lang w:eastAsia="fr-FR"/>
              </w:rPr>
            </w:pPr>
            <w:r>
              <w:rPr>
                <w:rFonts w:eastAsia="Times New Roman" w:cs="Times New Roman"/>
                <w:color w:val="00B0F0"/>
                <w:lang w:eastAsia="fr-FR"/>
              </w:rPr>
              <w:t>Charbon + lignite</w:t>
            </w:r>
          </w:p>
        </w:tc>
        <w:tc>
          <w:tcPr>
            <w:tcW w:w="1976"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B0F0"/>
                <w:lang w:eastAsia="fr-FR"/>
              </w:rPr>
            </w:pPr>
            <w:r>
              <w:rPr>
                <w:rFonts w:eastAsia="Times New Roman" w:cs="Times New Roman"/>
                <w:color w:val="00B0F0"/>
                <w:lang w:eastAsia="fr-FR"/>
              </w:rPr>
              <w:t>48 233</w:t>
            </w:r>
          </w:p>
        </w:tc>
        <w:tc>
          <w:tcPr>
            <w:tcW w:w="685"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B0F0"/>
                <w:lang w:eastAsia="fr-FR"/>
              </w:rPr>
            </w:pPr>
            <w:r>
              <w:rPr>
                <w:rFonts w:eastAsia="Times New Roman" w:cs="Times New Roman"/>
                <w:color w:val="00B0F0"/>
                <w:lang w:eastAsia="fr-FR"/>
              </w:rPr>
              <w:t>24,2%</w:t>
            </w:r>
          </w:p>
        </w:tc>
        <w:tc>
          <w:tcPr>
            <w:tcW w:w="1650"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B0F0"/>
                <w:lang w:eastAsia="fr-FR"/>
              </w:rPr>
            </w:pPr>
            <w:r>
              <w:rPr>
                <w:rFonts w:eastAsia="Times New Roman" w:cs="Times New Roman"/>
                <w:color w:val="00B0F0"/>
                <w:lang w:eastAsia="fr-FR"/>
              </w:rPr>
              <w:t>273</w:t>
            </w:r>
          </w:p>
        </w:tc>
        <w:tc>
          <w:tcPr>
            <w:tcW w:w="1375" w:type="dxa"/>
            <w:gridSpan w:val="2"/>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B0F0"/>
                <w:lang w:eastAsia="fr-FR"/>
              </w:rPr>
            </w:pPr>
            <w:r>
              <w:rPr>
                <w:rFonts w:eastAsia="Times New Roman" w:cs="Times New Roman"/>
                <w:color w:val="00B0F0"/>
                <w:lang w:eastAsia="fr-FR"/>
              </w:rPr>
              <w:t>44,1%</w:t>
            </w:r>
          </w:p>
        </w:tc>
      </w:tr>
      <w:tr>
        <w:trPr>
          <w:trHeight w:val="300" w:hRule="atLeast"/>
          <w:cantSplit w:val="false"/>
        </w:trPr>
        <w:tc>
          <w:tcPr>
            <w:tcW w:w="2882" w:type="dxa"/>
            <w:tcBorders>
              <w:top w:val="nil"/>
              <w:left w:val="single" w:sz="8" w:space="0" w:color="00000A"/>
              <w:bottom w:val="single" w:sz="4" w:space="0" w:color="00000A"/>
              <w:insideH w:val="single" w:sz="4" w:space="0" w:color="00000A"/>
              <w:right w:val="single" w:sz="8" w:space="0" w:color="00000A"/>
              <w:insideV w:val="single" w:sz="8" w:space="0" w:color="00000A"/>
            </w:tcBorders>
            <w:shd w:fill="FFFFFF" w:val="clear"/>
            <w:tcMar>
              <w:left w:w="60" w:type="dxa"/>
            </w:tcMar>
            <w:vAlign w:val="bottom"/>
          </w:tcPr>
          <w:p>
            <w:pPr>
              <w:pStyle w:val="Normal"/>
              <w:spacing w:lineRule="auto" w:line="240" w:before="0" w:after="0"/>
              <w:jc w:val="right"/>
              <w:rPr>
                <w:rFonts w:eastAsia="Times New Roman" w:cs="Times New Roman"/>
                <w:color w:val="00B0F0"/>
                <w:lang w:eastAsia="fr-FR"/>
              </w:rPr>
            </w:pPr>
            <w:r>
              <w:rPr>
                <w:rFonts w:eastAsia="Times New Roman" w:cs="Times New Roman"/>
                <w:color w:val="00B0F0"/>
                <w:lang w:eastAsia="fr-FR"/>
              </w:rPr>
              <w:t>Pétrole</w:t>
            </w:r>
          </w:p>
        </w:tc>
        <w:tc>
          <w:tcPr>
            <w:tcW w:w="1976"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B0F0"/>
                <w:lang w:eastAsia="fr-FR"/>
              </w:rPr>
            </w:pPr>
            <w:r>
              <w:rPr>
                <w:rFonts w:eastAsia="Times New Roman" w:cs="Times New Roman"/>
                <w:color w:val="00B0F0"/>
                <w:lang w:eastAsia="fr-FR"/>
              </w:rPr>
              <w:t>4 236</w:t>
            </w:r>
          </w:p>
        </w:tc>
        <w:tc>
          <w:tcPr>
            <w:tcW w:w="685"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B0F0"/>
                <w:lang w:eastAsia="fr-FR"/>
              </w:rPr>
            </w:pPr>
            <w:r>
              <w:rPr>
                <w:rFonts w:eastAsia="Times New Roman" w:cs="Times New Roman"/>
                <w:color w:val="00B0F0"/>
                <w:lang w:eastAsia="fr-FR"/>
              </w:rPr>
              <w:t>2,1%</w:t>
            </w:r>
          </w:p>
        </w:tc>
        <w:tc>
          <w:tcPr>
            <w:tcW w:w="1650"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B0F0"/>
                <w:lang w:eastAsia="fr-FR"/>
              </w:rPr>
            </w:pPr>
            <w:r>
              <w:rPr>
                <w:rFonts w:eastAsia="Times New Roman" w:cs="Times New Roman"/>
                <w:color w:val="00B0F0"/>
                <w:lang w:eastAsia="fr-FR"/>
              </w:rPr>
              <w:t>5,4</w:t>
            </w:r>
          </w:p>
        </w:tc>
        <w:tc>
          <w:tcPr>
            <w:tcW w:w="1375" w:type="dxa"/>
            <w:gridSpan w:val="2"/>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B0F0"/>
                <w:lang w:eastAsia="fr-FR"/>
              </w:rPr>
            </w:pPr>
            <w:r>
              <w:rPr>
                <w:rFonts w:eastAsia="Times New Roman" w:cs="Times New Roman"/>
                <w:color w:val="00B0F0"/>
                <w:lang w:eastAsia="fr-FR"/>
              </w:rPr>
              <w:t>0,9%</w:t>
            </w:r>
          </w:p>
        </w:tc>
      </w:tr>
      <w:tr>
        <w:trPr>
          <w:trHeight w:val="300" w:hRule="atLeast"/>
          <w:cantSplit w:val="false"/>
        </w:trPr>
        <w:tc>
          <w:tcPr>
            <w:tcW w:w="2882" w:type="dxa"/>
            <w:tcBorders>
              <w:top w:val="nil"/>
              <w:left w:val="single" w:sz="8" w:space="0" w:color="00000A"/>
              <w:bottom w:val="single" w:sz="4" w:space="0" w:color="00000A"/>
              <w:insideH w:val="single" w:sz="4" w:space="0" w:color="00000A"/>
              <w:right w:val="single" w:sz="8" w:space="0" w:color="00000A"/>
              <w:insideV w:val="single" w:sz="8" w:space="0" w:color="00000A"/>
            </w:tcBorders>
            <w:shd w:fill="FFFFFF" w:val="clear"/>
            <w:tcMar>
              <w:left w:w="60" w:type="dxa"/>
            </w:tcM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t>Eolien</w:t>
            </w:r>
          </w:p>
        </w:tc>
        <w:tc>
          <w:tcPr>
            <w:tcW w:w="1976" w:type="dxa"/>
            <w:tcBorders>
              <w:top w:val="nil"/>
              <w:left w:val="nil"/>
              <w:bottom w:val="single" w:sz="4" w:space="0" w:color="00000A"/>
              <w:insideH w:val="single" w:sz="4" w:space="0" w:color="00000A"/>
              <w:right w:val="single" w:sz="4" w:space="0" w:color="00000A"/>
              <w:insideV w:val="single" w:sz="4" w:space="0" w:color="00000A"/>
            </w:tcBorders>
            <w:shd w:fill="92D050"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41 636</w:t>
            </w:r>
          </w:p>
        </w:tc>
        <w:tc>
          <w:tcPr>
            <w:tcW w:w="685"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20,9%</w:t>
            </w:r>
          </w:p>
        </w:tc>
        <w:tc>
          <w:tcPr>
            <w:tcW w:w="1650"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88,03</w:t>
            </w:r>
          </w:p>
        </w:tc>
        <w:tc>
          <w:tcPr>
            <w:tcW w:w="1375" w:type="dxa"/>
            <w:gridSpan w:val="2"/>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14,2%</w:t>
            </w:r>
          </w:p>
        </w:tc>
      </w:tr>
      <w:tr>
        <w:trPr>
          <w:trHeight w:val="300" w:hRule="atLeast"/>
          <w:cantSplit w:val="false"/>
        </w:trPr>
        <w:tc>
          <w:tcPr>
            <w:tcW w:w="2882" w:type="dxa"/>
            <w:tcBorders>
              <w:top w:val="nil"/>
              <w:left w:val="single" w:sz="8" w:space="0" w:color="00000A"/>
              <w:bottom w:val="single" w:sz="4" w:space="0" w:color="00000A"/>
              <w:insideH w:val="single" w:sz="4" w:space="0" w:color="00000A"/>
              <w:right w:val="single" w:sz="8" w:space="0" w:color="00000A"/>
              <w:insideV w:val="single" w:sz="8" w:space="0" w:color="00000A"/>
            </w:tcBorders>
            <w:shd w:fill="FFFFFF" w:val="clear"/>
            <w:tcMar>
              <w:left w:w="60" w:type="dxa"/>
            </w:tcM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t>Photovoltaïque</w:t>
            </w:r>
          </w:p>
        </w:tc>
        <w:tc>
          <w:tcPr>
            <w:tcW w:w="1976" w:type="dxa"/>
            <w:tcBorders>
              <w:top w:val="nil"/>
              <w:left w:val="nil"/>
              <w:bottom w:val="single" w:sz="4" w:space="0" w:color="00000A"/>
              <w:insideH w:val="single" w:sz="4" w:space="0" w:color="00000A"/>
              <w:right w:val="single" w:sz="4" w:space="0" w:color="00000A"/>
              <w:insideV w:val="single" w:sz="4" w:space="0" w:color="00000A"/>
            </w:tcBorders>
            <w:shd w:fill="92D050"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38 850</w:t>
            </w:r>
          </w:p>
        </w:tc>
        <w:tc>
          <w:tcPr>
            <w:tcW w:w="685"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19,5%</w:t>
            </w:r>
          </w:p>
        </w:tc>
        <w:tc>
          <w:tcPr>
            <w:tcW w:w="1650"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38,32</w:t>
            </w:r>
          </w:p>
        </w:tc>
        <w:tc>
          <w:tcPr>
            <w:tcW w:w="1375" w:type="dxa"/>
            <w:gridSpan w:val="2"/>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6,2%</w:t>
            </w:r>
          </w:p>
        </w:tc>
      </w:tr>
      <w:tr>
        <w:trPr>
          <w:trHeight w:val="300" w:hRule="atLeast"/>
          <w:cantSplit w:val="false"/>
        </w:trPr>
        <w:tc>
          <w:tcPr>
            <w:tcW w:w="2882" w:type="dxa"/>
            <w:tcBorders>
              <w:top w:val="nil"/>
              <w:left w:val="single" w:sz="8" w:space="0" w:color="00000A"/>
              <w:bottom w:val="single" w:sz="4" w:space="0" w:color="00000A"/>
              <w:insideH w:val="single" w:sz="4" w:space="0" w:color="00000A"/>
              <w:right w:val="single" w:sz="8" w:space="0" w:color="00000A"/>
              <w:insideV w:val="single" w:sz="8" w:space="0" w:color="00000A"/>
            </w:tcBorders>
            <w:shd w:fill="FFFFFF" w:val="clear"/>
            <w:tcMar>
              <w:left w:w="60" w:type="dxa"/>
            </w:tcM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t>Thermique ENR + Déchets</w:t>
            </w:r>
          </w:p>
        </w:tc>
        <w:tc>
          <w:tcPr>
            <w:tcW w:w="1976"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9 041</w:t>
            </w:r>
          </w:p>
        </w:tc>
        <w:tc>
          <w:tcPr>
            <w:tcW w:w="685"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4,5%</w:t>
            </w:r>
          </w:p>
        </w:tc>
        <w:tc>
          <w:tcPr>
            <w:tcW w:w="1650"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42,28</w:t>
            </w:r>
          </w:p>
        </w:tc>
        <w:tc>
          <w:tcPr>
            <w:tcW w:w="1375" w:type="dxa"/>
            <w:gridSpan w:val="2"/>
            <w:tcBorders>
              <w:top w:val="nil"/>
              <w:left w:val="nil"/>
              <w:bottom w:val="nil"/>
              <w:insideH w:val="nil"/>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6,8%</w:t>
            </w:r>
          </w:p>
        </w:tc>
      </w:tr>
      <w:tr>
        <w:trPr>
          <w:trHeight w:val="315" w:hRule="atLeast"/>
          <w:cantSplit w:val="false"/>
        </w:trPr>
        <w:tc>
          <w:tcPr>
            <w:tcW w:w="2882" w:type="dxa"/>
            <w:tcBorders>
              <w:top w:val="nil"/>
              <w:left w:val="single" w:sz="8" w:space="0" w:color="00000A"/>
              <w:bottom w:val="nil"/>
              <w:insideH w:val="nil"/>
              <w:right w:val="single" w:sz="8" w:space="0" w:color="00000A"/>
              <w:insideV w:val="single" w:sz="8" w:space="0" w:color="00000A"/>
            </w:tcBorders>
            <w:shd w:fill="FFFFFF" w:val="clear"/>
            <w:tcMar>
              <w:left w:w="60" w:type="dxa"/>
            </w:tcM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t>Divers</w:t>
            </w:r>
          </w:p>
        </w:tc>
        <w:tc>
          <w:tcPr>
            <w:tcW w:w="1976" w:type="dxa"/>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3 384</w:t>
            </w:r>
          </w:p>
        </w:tc>
        <w:tc>
          <w:tcPr>
            <w:tcW w:w="68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1,7%</w:t>
            </w:r>
          </w:p>
        </w:tc>
        <w:tc>
          <w:tcPr>
            <w:tcW w:w="1650" w:type="dxa"/>
            <w:gridSpan w:val="2"/>
            <w:tcBorders>
              <w:top w:val="nil"/>
              <w:left w:val="single" w:sz="8" w:space="0" w:color="00000A"/>
              <w:bottom w:val="nil"/>
              <w:insideH w:val="nil"/>
              <w:right w:val="single" w:sz="4" w:space="0" w:color="00000A"/>
              <w:insideV w:val="single" w:sz="4" w:space="0" w:color="00000A"/>
            </w:tcBorders>
            <w:shd w:fill="FFFFFF" w:val="clear"/>
            <w:tcMar>
              <w:left w:w="60" w:type="dxa"/>
            </w:tcM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0,61</w:t>
            </w:r>
          </w:p>
        </w:tc>
        <w:tc>
          <w:tcPr>
            <w:tcW w:w="1375" w:type="dxa"/>
            <w:gridSpan w:val="2"/>
            <w:tcBorders>
              <w:top w:val="single" w:sz="4" w:space="0" w:color="00000A"/>
              <w:left w:val="nil"/>
              <w:bottom w:val="single" w:sz="8" w:space="0" w:color="00000A"/>
              <w:insideH w:val="single" w:sz="8"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0,1%</w:t>
            </w:r>
          </w:p>
        </w:tc>
      </w:tr>
      <w:tr>
        <w:trPr>
          <w:trHeight w:val="315" w:hRule="atLeast"/>
          <w:cantSplit w:val="false"/>
        </w:trPr>
        <w:tc>
          <w:tcPr>
            <w:tcW w:w="2882"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FFFFFF" w:val="clear"/>
            <w:tcMar>
              <w:left w:w="60" w:type="dxa"/>
            </w:tcM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t>Total</w:t>
            </w:r>
          </w:p>
        </w:tc>
        <w:tc>
          <w:tcPr>
            <w:tcW w:w="1976" w:type="dxa"/>
            <w:tcBorders>
              <w:top w:val="single" w:sz="8" w:space="0" w:color="00000A"/>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199 452</w:t>
            </w:r>
          </w:p>
        </w:tc>
        <w:tc>
          <w:tcPr>
            <w:tcW w:w="685" w:type="dxa"/>
            <w:tcBorders>
              <w:top w:val="single" w:sz="8" w:space="0" w:color="00000A"/>
              <w:left w:val="single" w:sz="8" w:space="0" w:color="00000A"/>
              <w:bottom w:val="single" w:sz="8" w:space="0" w:color="00000A"/>
              <w:insideH w:val="single" w:sz="8"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100%</w:t>
            </w:r>
          </w:p>
        </w:tc>
        <w:tc>
          <w:tcPr>
            <w:tcW w:w="1650" w:type="dxa"/>
            <w:gridSpan w:val="2"/>
            <w:tcBorders>
              <w:top w:val="single" w:sz="8" w:space="0" w:color="00000A"/>
              <w:left w:val="single" w:sz="8" w:space="0" w:color="00000A"/>
              <w:bottom w:val="single" w:sz="8" w:space="0" w:color="00000A"/>
              <w:insideH w:val="single" w:sz="8"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618</w:t>
            </w:r>
          </w:p>
        </w:tc>
        <w:tc>
          <w:tcPr>
            <w:tcW w:w="1375" w:type="dxa"/>
            <w:gridSpan w:val="2"/>
            <w:tcBorders>
              <w:top w:val="nil"/>
              <w:left w:val="single" w:sz="8" w:space="0" w:color="00000A"/>
              <w:bottom w:val="single" w:sz="8" w:space="0" w:color="00000A"/>
              <w:insideH w:val="single" w:sz="8" w:space="0" w:color="00000A"/>
              <w:right w:val="single" w:sz="8" w:space="0" w:color="00000A"/>
              <w:insideV w:val="single" w:sz="8" w:space="0" w:color="00000A"/>
            </w:tcBorders>
            <w:shd w:fill="FFFFFF" w:val="clear"/>
            <w:tcMar>
              <w:left w:w="60" w:type="dxa"/>
            </w:tcM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100%</w:t>
            </w:r>
          </w:p>
        </w:tc>
      </w:tr>
      <w:tr>
        <w:trPr>
          <w:trHeight w:val="300" w:hRule="atLeast"/>
          <w:cantSplit w:val="false"/>
        </w:trPr>
        <w:tc>
          <w:tcPr>
            <w:tcW w:w="2882" w:type="dxa"/>
            <w:tcBorders>
              <w:top w:val="nil"/>
              <w:left w:val="nil"/>
              <w:bottom w:val="nil"/>
              <w:insideH w:val="nil"/>
              <w:right w:val="nil"/>
              <w:insideV w:val="nil"/>
            </w:tcBorders>
            <w:shd w:fill="FFFFFF" w:val="clear"/>
            <w:vAlign w:val="bottom"/>
          </w:tcPr>
          <w:p>
            <w:pPr>
              <w:pStyle w:val="Normal"/>
              <w:spacing w:lineRule="auto" w:line="240" w:before="0" w:after="0"/>
              <w:rPr/>
            </w:pPr>
            <w:r>
              <w:rPr/>
              <w:drawing>
                <wp:inline distT="0" distB="0" distL="0" distR="0">
                  <wp:extent cx="4352925" cy="2371725"/>
                  <wp:effectExtent l="0" t="0" r="0" b="0"/>
                  <wp:docPr id="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2460"/>
            </w:tblGrid>
            <w:tr>
              <w:trPr>
                <w:trHeight w:val="300" w:hRule="atLeast"/>
                <w:cantSplit w:val="false"/>
              </w:trPr>
              <w:tc>
                <w:tcPr>
                  <w:tcW w:w="2460"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bl>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68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650"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7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88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68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650"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7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88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68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650"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7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88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68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650"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7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88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68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650"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7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88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68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650"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7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88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68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650"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7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88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68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650"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7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88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68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650"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7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88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68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650"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7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88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68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650"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7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88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68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650"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7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88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68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650"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7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882" w:type="dxa"/>
            <w:tcBorders>
              <w:top w:val="nil"/>
              <w:left w:val="nil"/>
              <w:bottom w:val="nil"/>
              <w:insideH w:val="nil"/>
              <w:right w:val="nil"/>
              <w:insideV w:val="nil"/>
            </w:tcBorders>
            <w:shd w:fill="FFFFFF" w:val="clear"/>
            <w:vAlign w:val="bottom"/>
          </w:tcPr>
          <w:p>
            <w:pPr>
              <w:pStyle w:val="Normal"/>
              <w:spacing w:lineRule="auto" w:line="240" w:before="0" w:after="0"/>
              <w:rPr/>
            </w:pPr>
            <w:r>
              <w:rPr/>
              <w:drawing>
                <wp:inline distT="0" distB="0" distL="0" distR="0">
                  <wp:extent cx="4361815" cy="2343150"/>
                  <wp:effectExtent l="0" t="0" r="0" b="0"/>
                  <wp:docPr id="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2460"/>
            </w:tblGrid>
            <w:tr>
              <w:trPr>
                <w:trHeight w:val="300" w:hRule="atLeast"/>
                <w:cantSplit w:val="false"/>
              </w:trPr>
              <w:tc>
                <w:tcPr>
                  <w:tcW w:w="2460"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bl>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68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650"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7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88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68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650"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7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88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68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650"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7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88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68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650"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7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88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68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650"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7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88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68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650"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7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88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68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650"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7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88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68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650"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7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88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68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650"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7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88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68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650"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7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88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68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650"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7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88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68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650"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7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88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68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650"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37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8568" w:type="dxa"/>
            <w:gridSpan w:val="7"/>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i/>
                <w:iCs/>
                <w:color w:val="000000"/>
                <w:lang w:eastAsia="fr-FR"/>
              </w:rPr>
            </w:pPr>
            <w:r>
              <w:rPr>
                <w:rFonts w:eastAsia="Times New Roman" w:cs="Times New Roman"/>
                <w:i/>
                <w:iCs/>
                <w:color w:val="000000"/>
                <w:lang w:eastAsia="fr-FR"/>
              </w:rPr>
              <w:t xml:space="preserve">Source : Statistiches Bundesamt - Bundesministerium für Wirtschaft und Technologie </w:t>
            </w:r>
          </w:p>
        </w:tc>
      </w:tr>
    </w:tbl>
    <w:p>
      <w:pPr>
        <w:pStyle w:val="Normal"/>
        <w:rPr>
          <w:rFonts w:cs="Arial" w:ascii="Arial" w:hAnsi="Arial"/>
        </w:rPr>
      </w:pPr>
      <w:r>
        <w:rPr>
          <w:rFonts w:cs="Arial" w:ascii="Arial" w:hAnsi="Arial"/>
        </w:rPr>
        <w:t>Annexe 2</w:t>
      </w:r>
    </w:p>
    <w:p>
      <w:pPr>
        <w:pStyle w:val="Normal"/>
        <w:jc w:val="center"/>
        <w:rPr>
          <w:rFonts w:cs="Arial" w:ascii="Arial" w:hAnsi="Arial"/>
          <w:b/>
          <w:sz w:val="32"/>
          <w:szCs w:val="32"/>
        </w:rPr>
      </w:pPr>
      <w:r>
        <w:rPr>
          <w:rFonts w:cs="Arial" w:ascii="Arial" w:hAnsi="Arial"/>
          <w:b/>
          <w:sz w:val="32"/>
          <w:szCs w:val="32"/>
        </w:rPr>
        <w:t>Bilan des énergies en France 2015</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t>A partir des données recueillies dans la littérature (CEA – Memento sur l’énergie / Edition 2015 ; Agence Internationale de l’Energie ; Ministère du Développement Durable et de l’Energie, …), le bilan 2015 des énergies en France a été établi :</w:t>
      </w:r>
    </w:p>
    <w:p>
      <w:pPr>
        <w:pStyle w:val="Normal"/>
        <w:numPr>
          <w:ilvl w:val="0"/>
          <w:numId w:val="1"/>
        </w:numPr>
        <w:spacing w:before="0" w:after="200"/>
        <w:contextualSpacing/>
        <w:jc w:val="both"/>
        <w:rPr>
          <w:rFonts w:cs="Arial" w:ascii="Arial" w:hAnsi="Arial"/>
        </w:rPr>
      </w:pPr>
      <w:r>
        <w:rPr>
          <w:rFonts w:cs="Arial" w:ascii="Arial" w:hAnsi="Arial"/>
        </w:rPr>
        <w:t>Energies primaires produites en France et importées : voir tableau 1.</w:t>
      </w:r>
    </w:p>
    <w:p>
      <w:pPr>
        <w:pStyle w:val="Normal"/>
        <w:numPr>
          <w:ilvl w:val="0"/>
          <w:numId w:val="1"/>
        </w:numPr>
        <w:spacing w:before="0" w:after="200"/>
        <w:contextualSpacing/>
        <w:jc w:val="both"/>
        <w:rPr>
          <w:rFonts w:cs="Arial" w:ascii="Arial" w:hAnsi="Arial"/>
        </w:rPr>
      </w:pPr>
      <w:r>
        <w:rPr>
          <w:rFonts w:cs="Arial" w:ascii="Arial" w:hAnsi="Arial"/>
        </w:rPr>
        <w:t>Détail des énergies renouvelables primaires : voir tableau 2.</w:t>
      </w:r>
    </w:p>
    <w:p>
      <w:pPr>
        <w:pStyle w:val="Normal"/>
        <w:numPr>
          <w:ilvl w:val="0"/>
          <w:numId w:val="1"/>
        </w:numPr>
        <w:spacing w:before="0" w:after="200"/>
        <w:contextualSpacing/>
        <w:jc w:val="both"/>
        <w:rPr>
          <w:rFonts w:cs="Arial" w:ascii="Arial" w:hAnsi="Arial"/>
        </w:rPr>
      </w:pPr>
      <w:r>
        <w:rPr>
          <w:rFonts w:cs="Arial" w:ascii="Arial" w:hAnsi="Arial"/>
        </w:rPr>
        <w:t>Energies finales utilisées : voir tableau 3.</w:t>
      </w:r>
    </w:p>
    <w:p>
      <w:pPr>
        <w:pStyle w:val="Normal"/>
        <w:numPr>
          <w:ilvl w:val="1"/>
          <w:numId w:val="1"/>
        </w:numPr>
        <w:spacing w:before="0" w:after="200"/>
        <w:contextualSpacing/>
        <w:jc w:val="both"/>
        <w:rPr>
          <w:rFonts w:cs="Arial" w:ascii="Arial" w:hAnsi="Arial"/>
        </w:rPr>
      </w:pPr>
      <w:r>
        <w:rPr>
          <w:rFonts w:cs="Arial" w:ascii="Arial" w:hAnsi="Arial"/>
        </w:rPr>
        <w:t>Parts des diverses énergies primaires,</w:t>
      </w:r>
    </w:p>
    <w:p>
      <w:pPr>
        <w:pStyle w:val="Normal"/>
        <w:numPr>
          <w:ilvl w:val="1"/>
          <w:numId w:val="1"/>
        </w:numPr>
        <w:spacing w:before="0" w:after="200"/>
        <w:contextualSpacing/>
        <w:jc w:val="both"/>
        <w:rPr>
          <w:rFonts w:cs="Arial" w:ascii="Arial" w:hAnsi="Arial"/>
        </w:rPr>
      </w:pPr>
      <w:r>
        <w:rPr>
          <w:rFonts w:cs="Arial" w:ascii="Arial" w:hAnsi="Arial"/>
        </w:rPr>
        <w:t>Répartition par secteur d’utilisations.</w:t>
      </w:r>
    </w:p>
    <w:p>
      <w:pPr>
        <w:pStyle w:val="Normal"/>
        <w:numPr>
          <w:ilvl w:val="0"/>
          <w:numId w:val="1"/>
        </w:numPr>
        <w:spacing w:before="0" w:after="200"/>
        <w:contextualSpacing/>
        <w:jc w:val="both"/>
        <w:rPr>
          <w:rFonts w:cs="Arial" w:ascii="Arial" w:hAnsi="Arial"/>
        </w:rPr>
      </w:pPr>
      <w:r>
        <w:rPr>
          <w:rFonts w:cs="Arial" w:ascii="Arial" w:hAnsi="Arial"/>
        </w:rPr>
        <w:t>Electricité répartie par énergies primaires : voir tableau 4.</w:t>
      </w:r>
    </w:p>
    <w:p>
      <w:pPr>
        <w:pStyle w:val="Normal"/>
        <w:numPr>
          <w:ilvl w:val="1"/>
          <w:numId w:val="1"/>
        </w:numPr>
        <w:spacing w:before="0" w:after="200"/>
        <w:contextualSpacing/>
        <w:jc w:val="both"/>
        <w:rPr>
          <w:rFonts w:cs="Arial" w:ascii="Arial" w:hAnsi="Arial"/>
        </w:rPr>
      </w:pPr>
      <w:r>
        <w:rPr>
          <w:rFonts w:cs="Arial" w:ascii="Arial" w:hAnsi="Arial"/>
        </w:rPr>
        <w:t>Puissance installée, en MW,</w:t>
      </w:r>
    </w:p>
    <w:p>
      <w:pPr>
        <w:pStyle w:val="Normal"/>
        <w:numPr>
          <w:ilvl w:val="1"/>
          <w:numId w:val="1"/>
        </w:numPr>
        <w:spacing w:before="0" w:after="200"/>
        <w:contextualSpacing/>
        <w:jc w:val="both"/>
        <w:rPr>
          <w:rFonts w:cs="Arial" w:ascii="Arial" w:hAnsi="Arial"/>
        </w:rPr>
      </w:pPr>
      <w:r>
        <w:rPr>
          <w:rFonts w:cs="Arial" w:ascii="Arial" w:hAnsi="Arial"/>
        </w:rPr>
        <w:t>Production d’électricité, en TWh.</w:t>
      </w:r>
    </w:p>
    <w:p>
      <w:pPr>
        <w:pStyle w:val="Normal"/>
        <w:jc w:val="both"/>
        <w:rPr>
          <w:rFonts w:cs="Arial" w:ascii="Arial" w:hAnsi="Arial"/>
        </w:rPr>
      </w:pPr>
      <w:r>
        <w:rPr>
          <w:rFonts w:cs="Arial" w:ascii="Arial" w:hAnsi="Arial"/>
        </w:rPr>
        <w:t>Quelques ordres de grandeur – La France :</w:t>
      </w:r>
    </w:p>
    <w:p>
      <w:pPr>
        <w:pStyle w:val="Normal"/>
        <w:numPr>
          <w:ilvl w:val="0"/>
          <w:numId w:val="1"/>
        </w:numPr>
        <w:spacing w:before="0" w:after="200"/>
        <w:contextualSpacing/>
        <w:jc w:val="both"/>
        <w:rPr>
          <w:rFonts w:cs="Arial" w:ascii="Arial" w:hAnsi="Arial"/>
        </w:rPr>
      </w:pPr>
      <w:r>
        <w:rPr>
          <w:rFonts w:cs="Arial" w:ascii="Arial" w:hAnsi="Arial"/>
        </w:rPr>
        <w:t>compte environ 66,6 millions d’habitants ; l’Europe 510 millions.</w:t>
      </w:r>
    </w:p>
    <w:p>
      <w:pPr>
        <w:pStyle w:val="Normal"/>
        <w:numPr>
          <w:ilvl w:val="0"/>
          <w:numId w:val="1"/>
        </w:numPr>
        <w:spacing w:before="0" w:after="200"/>
        <w:contextualSpacing/>
        <w:jc w:val="both"/>
        <w:rPr>
          <w:rFonts w:cs="Arial" w:ascii="Arial" w:hAnsi="Arial"/>
        </w:rPr>
      </w:pPr>
      <w:r>
        <w:rPr>
          <w:rFonts w:cs="Arial" w:ascii="Arial" w:hAnsi="Arial"/>
        </w:rPr>
        <w:t>est le 2</w:t>
      </w:r>
      <w:r>
        <w:rPr>
          <w:rFonts w:cs="Arial" w:ascii="Arial" w:hAnsi="Arial"/>
          <w:vertAlign w:val="superscript"/>
        </w:rPr>
        <w:t>ème</w:t>
      </w:r>
      <w:r>
        <w:rPr>
          <w:rFonts w:cs="Arial" w:ascii="Arial" w:hAnsi="Arial"/>
        </w:rPr>
        <w:t xml:space="preserve"> pays consommateur d’énergie primaire d’Europe, avec environ 3,86 tep par habitant et un total de 257,1 Mtep, après l’Allemagne (3,85 tep/hbt et 316,7 Mtep) ; pour l’Europe entière : 3,19 tep/hbt et 1626 Mtep.</w:t>
      </w:r>
    </w:p>
    <w:p>
      <w:pPr>
        <w:pStyle w:val="Normal"/>
        <w:numPr>
          <w:ilvl w:val="0"/>
          <w:numId w:val="1"/>
        </w:numPr>
        <w:spacing w:before="0" w:after="200"/>
        <w:contextualSpacing/>
        <w:jc w:val="both"/>
        <w:rPr>
          <w:rFonts w:cs="Arial" w:ascii="Arial" w:hAnsi="Arial"/>
        </w:rPr>
      </w:pPr>
      <w:r>
        <w:rPr>
          <w:rFonts w:cs="Arial" w:ascii="Arial" w:hAnsi="Arial"/>
        </w:rPr>
        <w:t>est le 3</w:t>
      </w:r>
      <w:r>
        <w:rPr>
          <w:rFonts w:cs="Arial" w:ascii="Arial" w:hAnsi="Arial"/>
          <w:vertAlign w:val="superscript"/>
        </w:rPr>
        <w:t>ème</w:t>
      </w:r>
      <w:r>
        <w:rPr>
          <w:rFonts w:cs="Arial" w:ascii="Arial" w:hAnsi="Arial"/>
        </w:rPr>
        <w:t xml:space="preserve"> pays émetteur de gaz à effet de serre d’Europe avec environ 7,2 t de CO</w:t>
      </w:r>
      <w:r>
        <w:rPr>
          <w:rFonts w:cs="Arial" w:ascii="Arial" w:hAnsi="Arial"/>
          <w:vertAlign w:val="subscript"/>
        </w:rPr>
        <w:t>2</w:t>
      </w:r>
      <w:r>
        <w:rPr>
          <w:rFonts w:cs="Arial" w:ascii="Arial" w:hAnsi="Arial"/>
        </w:rPr>
        <w:t xml:space="preserve"> par habitant et par an et un total de 480 Mt de CO</w:t>
      </w:r>
      <w:r>
        <w:rPr>
          <w:rFonts w:cs="Arial" w:ascii="Arial" w:hAnsi="Arial"/>
          <w:vertAlign w:val="subscript"/>
        </w:rPr>
        <w:t>2</w:t>
      </w:r>
      <w:r>
        <w:rPr>
          <w:rFonts w:cs="Arial" w:ascii="Arial" w:hAnsi="Arial"/>
        </w:rPr>
        <w:t xml:space="preserve"> par an, après l’Allemagne (11,4 t de CO</w:t>
      </w:r>
      <w:r>
        <w:rPr>
          <w:rFonts w:cs="Arial" w:ascii="Arial" w:hAnsi="Arial"/>
          <w:vertAlign w:val="subscript"/>
        </w:rPr>
        <w:t>2</w:t>
      </w:r>
      <w:r>
        <w:rPr>
          <w:rFonts w:cs="Arial" w:ascii="Arial" w:hAnsi="Arial"/>
        </w:rPr>
        <w:t xml:space="preserve"> / hbt et 940 Mt de CO</w:t>
      </w:r>
      <w:r>
        <w:rPr>
          <w:rFonts w:cs="Arial" w:ascii="Arial" w:hAnsi="Arial"/>
          <w:vertAlign w:val="subscript"/>
        </w:rPr>
        <w:t>2</w:t>
      </w:r>
      <w:r>
        <w:rPr>
          <w:rFonts w:cs="Arial" w:ascii="Arial" w:hAnsi="Arial"/>
        </w:rPr>
        <w:t>) et la Grande Bretagne (8,6 t de CO</w:t>
      </w:r>
      <w:r>
        <w:rPr>
          <w:rFonts w:cs="Arial" w:ascii="Arial" w:hAnsi="Arial"/>
          <w:vertAlign w:val="subscript"/>
        </w:rPr>
        <w:t>2</w:t>
      </w:r>
      <w:r>
        <w:rPr>
          <w:rFonts w:cs="Arial" w:ascii="Arial" w:hAnsi="Arial"/>
        </w:rPr>
        <w:t xml:space="preserve"> / hbt et 553 Mt de CO</w:t>
      </w:r>
      <w:r>
        <w:rPr>
          <w:rFonts w:cs="Arial" w:ascii="Arial" w:hAnsi="Arial"/>
          <w:vertAlign w:val="subscript"/>
        </w:rPr>
        <w:t>2</w:t>
      </w:r>
      <w:r>
        <w:rPr>
          <w:rFonts w:cs="Arial" w:ascii="Arial" w:hAnsi="Arial"/>
        </w:rPr>
        <w:t>) ; pour l’Europe entière : 8,7 t de CO</w:t>
      </w:r>
      <w:r>
        <w:rPr>
          <w:rFonts w:cs="Arial" w:ascii="Arial" w:hAnsi="Arial"/>
          <w:vertAlign w:val="subscript"/>
        </w:rPr>
        <w:t>2</w:t>
      </w:r>
      <w:r>
        <w:rPr>
          <w:rFonts w:cs="Arial" w:ascii="Arial" w:hAnsi="Arial"/>
        </w:rPr>
        <w:t xml:space="preserve"> t /hbt et 4447 Mt de CO</w:t>
      </w:r>
      <w:r>
        <w:rPr>
          <w:rFonts w:cs="Arial" w:ascii="Arial" w:hAnsi="Arial"/>
          <w:vertAlign w:val="subscript"/>
        </w:rPr>
        <w:t>2</w:t>
      </w:r>
      <w:r>
        <w:rPr>
          <w:rFonts w:cs="Arial" w:ascii="Arial" w:hAnsi="Arial"/>
        </w:rPr>
        <w:t xml:space="preserve"> équivalent.</w:t>
      </w:r>
    </w:p>
    <w:p>
      <w:pPr>
        <w:pStyle w:val="Normal"/>
        <w:numPr>
          <w:ilvl w:val="0"/>
          <w:numId w:val="1"/>
        </w:numPr>
        <w:spacing w:before="0" w:after="200"/>
        <w:contextualSpacing/>
        <w:jc w:val="both"/>
        <w:rPr>
          <w:rFonts w:cs="Arial" w:ascii="Arial" w:hAnsi="Arial"/>
        </w:rPr>
      </w:pPr>
      <w:r>
        <w:rPr>
          <w:rFonts w:cs="Arial" w:ascii="Arial" w:hAnsi="Arial"/>
        </w:rPr>
        <w:t>émet 72 g de CO</w:t>
      </w:r>
      <w:r>
        <w:rPr>
          <w:rFonts w:cs="Arial" w:ascii="Arial" w:hAnsi="Arial"/>
          <w:vertAlign w:val="subscript"/>
        </w:rPr>
        <w:t xml:space="preserve">2 </w:t>
      </w:r>
      <w:r>
        <w:rPr>
          <w:rFonts w:cs="Arial" w:ascii="Arial" w:hAnsi="Arial"/>
        </w:rPr>
        <w:t>par kWh d’électricité produit, ,</w:t>
      </w:r>
    </w:p>
    <w:p>
      <w:pPr>
        <w:pStyle w:val="Normal"/>
        <w:numPr>
          <w:ilvl w:val="1"/>
          <w:numId w:val="1"/>
        </w:numPr>
        <w:spacing w:before="0" w:after="200"/>
        <w:contextualSpacing/>
        <w:jc w:val="both"/>
        <w:rPr>
          <w:rFonts w:cs="Arial" w:ascii="Arial" w:hAnsi="Arial"/>
        </w:rPr>
      </w:pPr>
      <w:r>
        <w:rPr>
          <w:rFonts w:cs="Arial" w:ascii="Arial" w:hAnsi="Arial"/>
        </w:rPr>
        <w:t>l’Allemagne : 560 g de CO</w:t>
      </w:r>
      <w:r>
        <w:rPr>
          <w:rFonts w:cs="Arial" w:ascii="Arial" w:hAnsi="Arial"/>
          <w:vertAlign w:val="subscript"/>
        </w:rPr>
        <w:t>2</w:t>
      </w:r>
      <w:r>
        <w:rPr>
          <w:rFonts w:cs="Arial" w:ascii="Arial" w:hAnsi="Arial"/>
        </w:rPr>
        <w:t>,</w:t>
      </w:r>
    </w:p>
    <w:p>
      <w:pPr>
        <w:pStyle w:val="Normal"/>
        <w:numPr>
          <w:ilvl w:val="1"/>
          <w:numId w:val="1"/>
        </w:numPr>
        <w:spacing w:before="0" w:after="200"/>
        <w:contextualSpacing/>
        <w:jc w:val="both"/>
        <w:rPr>
          <w:rFonts w:cs="Arial" w:ascii="Arial" w:hAnsi="Arial"/>
        </w:rPr>
      </w:pPr>
      <w:r>
        <w:rPr>
          <w:rFonts w:cs="Arial" w:ascii="Arial" w:hAnsi="Arial"/>
        </w:rPr>
        <w:t>l’Europe entière : 390 g de CO</w:t>
      </w:r>
      <w:r>
        <w:rPr>
          <w:rFonts w:cs="Arial" w:ascii="Arial" w:hAnsi="Arial"/>
          <w:vertAlign w:val="subscript"/>
        </w:rPr>
        <w:t>2</w:t>
      </w:r>
      <w:r>
        <w:rPr>
          <w:rFonts w:cs="Arial" w:ascii="Arial" w:hAnsi="Arial"/>
        </w:rPr>
        <w:t>.</w:t>
      </w:r>
    </w:p>
    <w:p>
      <w:pPr>
        <w:pStyle w:val="Normal"/>
        <w:spacing w:before="0" w:after="200"/>
        <w:contextualSpacing/>
        <w:jc w:val="both"/>
        <w:rPr>
          <w:rFonts w:cs="Arial" w:ascii="Arial" w:hAnsi="Arial"/>
        </w:rPr>
      </w:pPr>
      <w:r>
        <w:rPr>
          <w:rFonts w:cs="Arial" w:ascii="Arial" w:hAnsi="Arial"/>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9212"/>
      </w:tblGrid>
      <w:tr>
        <w:trPr>
          <w:cantSplit w:val="false"/>
        </w:trPr>
        <w:tc>
          <w:tcPr>
            <w:tcW w:w="92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Arial"/>
                <w:i/>
              </w:rPr>
            </w:pPr>
            <w:r>
              <w:rPr>
                <w:rFonts w:cs="Arial"/>
                <w:i/>
              </w:rPr>
            </w:r>
          </w:p>
          <w:p>
            <w:pPr>
              <w:pStyle w:val="Normal"/>
              <w:spacing w:before="0" w:after="0"/>
              <w:rPr>
                <w:rFonts w:cs="Arial"/>
                <w:i/>
              </w:rPr>
            </w:pPr>
            <w:r>
              <w:rPr>
                <w:rFonts w:cs="Arial"/>
                <w:i/>
              </w:rPr>
              <w:t>Rappel sur les unités de mesure :</w:t>
            </w:r>
          </w:p>
          <w:p>
            <w:pPr>
              <w:pStyle w:val="Normal"/>
              <w:spacing w:before="0" w:after="0"/>
              <w:rPr>
                <w:rFonts w:cs="Arial"/>
                <w:i/>
                <w:sz w:val="20"/>
                <w:szCs w:val="20"/>
              </w:rPr>
            </w:pPr>
            <w:r>
              <w:rPr>
                <w:rFonts w:cs="Arial"/>
                <w:i/>
                <w:sz w:val="20"/>
                <w:szCs w:val="20"/>
              </w:rPr>
              <w:t>Dans le système international de mesures MKS (mètre, kilogramme masse, seconde) :</w:t>
            </w:r>
          </w:p>
          <w:p>
            <w:pPr>
              <w:pStyle w:val="Normal"/>
              <w:numPr>
                <w:ilvl w:val="0"/>
                <w:numId w:val="2"/>
              </w:numPr>
              <w:spacing w:before="0" w:after="200"/>
              <w:contextualSpacing/>
              <w:rPr>
                <w:rFonts w:cs="Arial"/>
                <w:i/>
                <w:sz w:val="20"/>
                <w:szCs w:val="20"/>
              </w:rPr>
            </w:pPr>
            <w:r>
              <w:rPr>
                <w:rFonts w:cs="Arial"/>
                <w:i/>
                <w:sz w:val="20"/>
                <w:szCs w:val="20"/>
              </w:rPr>
              <w:t>Unité de force = 1 N (Newton) = 1 kg masse x 1m/s</w:t>
            </w:r>
            <w:r>
              <w:rPr>
                <w:rFonts w:cs="Arial"/>
                <w:i/>
                <w:sz w:val="20"/>
                <w:szCs w:val="20"/>
                <w:vertAlign w:val="superscript"/>
              </w:rPr>
              <w:t>2</w:t>
            </w:r>
            <w:r>
              <w:rPr>
                <w:rFonts w:cs="Arial"/>
                <w:i/>
                <w:sz w:val="20"/>
                <w:szCs w:val="20"/>
              </w:rPr>
              <w:t>,</w:t>
            </w:r>
          </w:p>
          <w:p>
            <w:pPr>
              <w:pStyle w:val="Normal"/>
              <w:numPr>
                <w:ilvl w:val="0"/>
                <w:numId w:val="2"/>
              </w:numPr>
              <w:spacing w:before="0" w:after="200"/>
              <w:contextualSpacing/>
              <w:rPr>
                <w:rFonts w:cs="Arial"/>
                <w:i/>
                <w:sz w:val="20"/>
                <w:szCs w:val="20"/>
              </w:rPr>
            </w:pPr>
            <w:r>
              <w:rPr>
                <w:rFonts w:cs="Arial"/>
                <w:i/>
                <w:sz w:val="20"/>
                <w:szCs w:val="20"/>
              </w:rPr>
              <w:t>Unité de travail (énergie) = 1 J (Joule) = 1 N x 1m,</w:t>
            </w:r>
          </w:p>
          <w:p>
            <w:pPr>
              <w:pStyle w:val="Normal"/>
              <w:numPr>
                <w:ilvl w:val="1"/>
                <w:numId w:val="2"/>
              </w:numPr>
              <w:spacing w:before="0" w:after="200"/>
              <w:contextualSpacing/>
              <w:rPr>
                <w:rFonts w:cs="Arial"/>
                <w:i/>
                <w:sz w:val="20"/>
                <w:szCs w:val="20"/>
                <w:lang w:val="en-US"/>
              </w:rPr>
            </w:pPr>
            <w:r>
              <w:rPr>
                <w:rFonts w:cs="Arial"/>
                <w:i/>
                <w:sz w:val="20"/>
                <w:szCs w:val="20"/>
                <w:lang w:val="en-US"/>
              </w:rPr>
              <w:t>Unités courantes : 1 Wh = (1 J / 1 s) x 3600 s = 3600 J</w:t>
            </w:r>
          </w:p>
          <w:p>
            <w:pPr>
              <w:pStyle w:val="Normal"/>
              <w:numPr>
                <w:ilvl w:val="1"/>
                <w:numId w:val="2"/>
              </w:numPr>
              <w:spacing w:before="0" w:after="200"/>
              <w:contextualSpacing/>
              <w:rPr>
                <w:rFonts w:cs="Arial"/>
                <w:i/>
                <w:sz w:val="20"/>
                <w:szCs w:val="20"/>
                <w:lang w:val="en-US"/>
              </w:rPr>
            </w:pPr>
            <w:r>
              <w:rPr>
                <w:rFonts w:cs="Arial"/>
                <w:i/>
                <w:sz w:val="20"/>
                <w:szCs w:val="20"/>
                <w:lang w:val="en-US"/>
              </w:rPr>
              <w:t>1 kWh = 3 600 000 J</w:t>
            </w:r>
          </w:p>
          <w:p>
            <w:pPr>
              <w:pStyle w:val="Normal"/>
              <w:numPr>
                <w:ilvl w:val="1"/>
                <w:numId w:val="2"/>
              </w:numPr>
              <w:spacing w:before="0" w:after="200"/>
              <w:contextualSpacing/>
              <w:rPr>
                <w:rFonts w:cs="Arial"/>
                <w:i/>
                <w:sz w:val="20"/>
                <w:szCs w:val="20"/>
                <w:lang w:val="en-US"/>
              </w:rPr>
            </w:pPr>
            <w:r>
              <w:rPr>
                <w:rFonts w:cs="Arial"/>
                <w:i/>
                <w:sz w:val="20"/>
                <w:szCs w:val="20"/>
                <w:lang w:val="en-US"/>
              </w:rPr>
              <w:t>1 MWh = 1000 kWh</w:t>
            </w:r>
          </w:p>
          <w:p>
            <w:pPr>
              <w:pStyle w:val="Normal"/>
              <w:numPr>
                <w:ilvl w:val="1"/>
                <w:numId w:val="2"/>
              </w:numPr>
              <w:spacing w:before="0" w:after="200"/>
              <w:contextualSpacing/>
              <w:rPr>
                <w:rFonts w:cs="Arial"/>
                <w:i/>
                <w:sz w:val="20"/>
                <w:szCs w:val="20"/>
                <w:lang w:val="en-US"/>
              </w:rPr>
            </w:pPr>
            <w:r>
              <w:rPr>
                <w:rFonts w:cs="Arial"/>
                <w:i/>
                <w:sz w:val="20"/>
                <w:szCs w:val="20"/>
                <w:lang w:val="en-US"/>
              </w:rPr>
              <w:t>1 TWh (térawattheure) = 1 000 000 MWh</w:t>
            </w:r>
          </w:p>
          <w:p>
            <w:pPr>
              <w:pStyle w:val="Normal"/>
              <w:numPr>
                <w:ilvl w:val="1"/>
                <w:numId w:val="2"/>
              </w:numPr>
              <w:spacing w:before="0" w:after="200"/>
              <w:contextualSpacing/>
              <w:rPr>
                <w:rFonts w:cs="Arial"/>
                <w:i/>
                <w:sz w:val="20"/>
                <w:szCs w:val="20"/>
              </w:rPr>
            </w:pPr>
            <w:r>
              <w:rPr>
                <w:rFonts w:cs="Arial"/>
                <w:i/>
                <w:sz w:val="20"/>
                <w:szCs w:val="20"/>
              </w:rPr>
              <w:t>1 tep (tonne équivalent pétrole) = 42 GJ (gigajoule) = 11,66 MWh (mégawattheure)</w:t>
            </w:r>
          </w:p>
          <w:p>
            <w:pPr>
              <w:pStyle w:val="Normal"/>
              <w:numPr>
                <w:ilvl w:val="1"/>
                <w:numId w:val="2"/>
              </w:numPr>
              <w:spacing w:before="0" w:after="200"/>
              <w:contextualSpacing/>
              <w:rPr>
                <w:rFonts w:cs="Arial"/>
                <w:i/>
                <w:sz w:val="20"/>
                <w:szCs w:val="20"/>
              </w:rPr>
            </w:pPr>
            <w:r>
              <w:rPr>
                <w:rFonts w:cs="Arial"/>
                <w:i/>
                <w:sz w:val="20"/>
                <w:szCs w:val="20"/>
              </w:rPr>
              <w:t>1 Mtep (million de tonnes équivalent pétrole) = 11,66 TWh</w:t>
            </w:r>
          </w:p>
          <w:p>
            <w:pPr>
              <w:pStyle w:val="Normal"/>
              <w:numPr>
                <w:ilvl w:val="0"/>
                <w:numId w:val="2"/>
              </w:numPr>
              <w:spacing w:before="0" w:after="200"/>
              <w:contextualSpacing/>
              <w:rPr>
                <w:rFonts w:cs="Arial"/>
                <w:i/>
                <w:sz w:val="20"/>
                <w:szCs w:val="20"/>
                <w:vertAlign w:val="superscript"/>
              </w:rPr>
            </w:pPr>
            <w:r>
              <w:rPr>
                <w:rFonts w:cs="Arial"/>
                <w:i/>
                <w:sz w:val="20"/>
                <w:szCs w:val="20"/>
              </w:rPr>
              <w:t>Unité de puissance = 1 W = 1 J / 1 s = 1 N x 1 m / 1 s = 1 kg masse x (1m)</w:t>
            </w:r>
            <w:r>
              <w:rPr>
                <w:rFonts w:cs="Arial"/>
                <w:i/>
                <w:sz w:val="20"/>
                <w:szCs w:val="20"/>
                <w:vertAlign w:val="superscript"/>
              </w:rPr>
              <w:t>2</w:t>
            </w:r>
            <w:r>
              <w:rPr>
                <w:rFonts w:cs="Arial"/>
                <w:i/>
                <w:sz w:val="20"/>
                <w:szCs w:val="20"/>
              </w:rPr>
              <w:t xml:space="preserve"> / s</w:t>
            </w:r>
            <w:r>
              <w:rPr>
                <w:rFonts w:cs="Arial"/>
                <w:i/>
                <w:sz w:val="20"/>
                <w:szCs w:val="20"/>
                <w:vertAlign w:val="superscript"/>
              </w:rPr>
              <w:t>3</w:t>
            </w:r>
          </w:p>
          <w:p>
            <w:pPr>
              <w:pStyle w:val="Normal"/>
              <w:numPr>
                <w:ilvl w:val="1"/>
                <w:numId w:val="2"/>
              </w:numPr>
              <w:spacing w:before="0" w:after="200"/>
              <w:contextualSpacing/>
              <w:rPr>
                <w:rFonts w:cs="Arial"/>
                <w:i/>
                <w:sz w:val="20"/>
                <w:szCs w:val="20"/>
                <w:lang w:val="en-US"/>
              </w:rPr>
            </w:pPr>
            <w:r>
              <w:rPr>
                <w:rFonts w:cs="Arial"/>
                <w:i/>
                <w:sz w:val="20"/>
                <w:szCs w:val="20"/>
                <w:lang w:val="en-US"/>
              </w:rPr>
              <w:t>1 kW (kilowatt) = 1000 W – 1 MW (mégawatt) = 1 000 000 W</w:t>
            </w:r>
          </w:p>
          <w:p>
            <w:pPr>
              <w:pStyle w:val="Normal"/>
              <w:numPr>
                <w:ilvl w:val="1"/>
                <w:numId w:val="2"/>
              </w:numPr>
              <w:spacing w:before="0" w:after="200"/>
              <w:contextualSpacing/>
              <w:rPr>
                <w:rFonts w:cs="Arial"/>
                <w:i/>
                <w:sz w:val="20"/>
                <w:szCs w:val="20"/>
              </w:rPr>
            </w:pPr>
            <w:r>
              <w:rPr>
                <w:rFonts w:cs="Arial"/>
                <w:i/>
                <w:sz w:val="20"/>
                <w:szCs w:val="20"/>
                <w:lang w:val="en-US"/>
              </w:rPr>
              <w:t xml:space="preserve"> </w:t>
            </w:r>
            <w:r>
              <w:rPr>
                <w:rFonts w:cs="Arial"/>
                <w:i/>
                <w:sz w:val="20"/>
                <w:szCs w:val="20"/>
              </w:rPr>
              <w:t>1 ch (cheval vapeur) = 735,5 W</w:t>
            </w:r>
          </w:p>
          <w:p>
            <w:pPr>
              <w:pStyle w:val="Normal"/>
              <w:spacing w:before="0" w:after="0"/>
              <w:rPr>
                <w:rFonts w:cs="Arial"/>
                <w:i/>
              </w:rPr>
            </w:pPr>
            <w:r>
              <w:rPr>
                <w:rFonts w:cs="Arial"/>
                <w:i/>
              </w:rPr>
            </w:r>
          </w:p>
        </w:tc>
      </w:tr>
    </w:tbl>
    <w:p>
      <w:pPr>
        <w:pStyle w:val="Normal"/>
        <w:rPr/>
      </w:pPr>
      <w:r>
        <w:rPr/>
      </w:r>
    </w:p>
    <w:tbl>
      <w:tblPr>
        <w:jc w:val="left"/>
        <w:tblInd w:w="70" w:type="dxa"/>
        <w:tblBorders>
          <w:top w:val="nil"/>
          <w:left w:val="nil"/>
          <w:bottom w:val="nil"/>
          <w:insideH w:val="nil"/>
          <w:right w:val="nil"/>
          <w:insideV w:val="nil"/>
        </w:tblBorders>
        <w:tblCellMar>
          <w:top w:w="0" w:type="dxa"/>
          <w:left w:w="70" w:type="dxa"/>
          <w:bottom w:w="0" w:type="dxa"/>
          <w:right w:w="70" w:type="dxa"/>
        </w:tblCellMar>
      </w:tblPr>
      <w:tblGrid>
        <w:gridCol w:w="2621"/>
        <w:gridCol w:w="1140"/>
        <w:gridCol w:w="1"/>
        <w:gridCol w:w="964"/>
        <w:gridCol w:w="1"/>
        <w:gridCol w:w="1186"/>
        <w:gridCol w:w="1"/>
        <w:gridCol w:w="1"/>
        <w:gridCol w:w="963"/>
        <w:gridCol w:w="1"/>
        <w:gridCol w:w="1"/>
        <w:gridCol w:w="1161"/>
        <w:gridCol w:w="1"/>
        <w:gridCol w:w="1"/>
        <w:gridCol w:w="1164"/>
      </w:tblGrid>
      <w:tr>
        <w:trPr>
          <w:trHeight w:val="405" w:hRule="atLeast"/>
          <w:cantSplit w:val="false"/>
        </w:trPr>
        <w:tc>
          <w:tcPr>
            <w:tcW w:w="6880" w:type="dxa"/>
            <w:gridSpan w:val="11"/>
            <w:tcBorders>
              <w:top w:val="nil"/>
              <w:left w:val="nil"/>
              <w:bottom w:val="nil"/>
              <w:insideH w:val="nil"/>
              <w:right w:val="nil"/>
              <w:insideV w:val="nil"/>
            </w:tcBorders>
            <w:shd w:fill="FFFFFF" w:val="clear"/>
            <w:vAlign w:val="bottom"/>
          </w:tcPr>
          <w:p>
            <w:pPr>
              <w:pStyle w:val="Normal"/>
              <w:pageBreakBefore/>
              <w:spacing w:lineRule="auto" w:line="240" w:before="0" w:after="0"/>
              <w:rPr>
                <w:rFonts w:eastAsia="Times New Roman" w:cs="Arial" w:ascii="Arial" w:hAnsi="Arial"/>
                <w:b/>
                <w:bCs/>
                <w:color w:val="000000"/>
                <w:sz w:val="32"/>
                <w:szCs w:val="32"/>
                <w:lang w:eastAsia="fr-FR"/>
              </w:rPr>
            </w:pPr>
            <w:r>
              <w:rPr>
                <w:rFonts w:eastAsia="Times New Roman" w:cs="Arial" w:ascii="Arial" w:hAnsi="Arial"/>
                <w:b/>
                <w:bCs/>
                <w:color w:val="000000"/>
                <w:sz w:val="32"/>
                <w:szCs w:val="32"/>
                <w:lang w:eastAsia="fr-FR"/>
              </w:rPr>
              <w:t>Tableau 1 : France 2015 Energies primaires</w:t>
            </w:r>
          </w:p>
        </w:tc>
        <w:tc>
          <w:tcPr>
            <w:tcW w:w="116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4"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15" w:hRule="atLeast"/>
          <w:cantSplit w:val="false"/>
        </w:trPr>
        <w:tc>
          <w:tcPr>
            <w:tcW w:w="262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140"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8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6"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21" w:type="dxa"/>
            <w:tcBorders>
              <w:top w:val="single" w:sz="8" w:space="0" w:color="00000A"/>
              <w:left w:val="single" w:sz="8" w:space="0" w:color="00000A"/>
              <w:bottom w:val="nil"/>
              <w:insideH w:val="nil"/>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Ressources</w:t>
            </w:r>
          </w:p>
        </w:tc>
        <w:tc>
          <w:tcPr>
            <w:tcW w:w="1140" w:type="dxa"/>
            <w:tcBorders>
              <w:top w:val="single" w:sz="8" w:space="0" w:color="00000A"/>
              <w:left w:val="nil"/>
              <w:bottom w:val="nil"/>
              <w:insideH w:val="nil"/>
              <w:right w:val="nil"/>
              <w:insideV w:val="nil"/>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Production </w:t>
            </w:r>
          </w:p>
        </w:tc>
        <w:tc>
          <w:tcPr>
            <w:tcW w:w="965" w:type="dxa"/>
            <w:gridSpan w:val="2"/>
            <w:tcBorders>
              <w:top w:val="single" w:sz="8" w:space="0" w:color="00000A"/>
              <w:left w:val="nil"/>
              <w:bottom w:val="nil"/>
              <w:insideH w:val="nil"/>
              <w:right w:val="nil"/>
              <w:insideV w:val="nil"/>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w:t>
            </w:r>
          </w:p>
        </w:tc>
        <w:tc>
          <w:tcPr>
            <w:tcW w:w="1187" w:type="dxa"/>
            <w:gridSpan w:val="2"/>
            <w:tcBorders>
              <w:top w:val="single" w:sz="8" w:space="0" w:color="00000A"/>
              <w:left w:val="single" w:sz="4" w:space="0" w:color="00000A"/>
              <w:bottom w:val="nil"/>
              <w:insideH w:val="nil"/>
              <w:right w:val="nil"/>
              <w:insideV w:val="nil"/>
            </w:tcBorders>
            <w:shd w:fill="FFFFFF" w:val="clear"/>
            <w:tcMar>
              <w:left w:w="65" w:type="dxa"/>
            </w:tcM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Importation </w:t>
            </w:r>
          </w:p>
        </w:tc>
        <w:tc>
          <w:tcPr>
            <w:tcW w:w="965" w:type="dxa"/>
            <w:gridSpan w:val="3"/>
            <w:tcBorders>
              <w:top w:val="single" w:sz="8" w:space="0" w:color="00000A"/>
              <w:left w:val="nil"/>
              <w:bottom w:val="nil"/>
              <w:insideH w:val="nil"/>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w:t>
            </w:r>
          </w:p>
        </w:tc>
        <w:tc>
          <w:tcPr>
            <w:tcW w:w="1163" w:type="dxa"/>
            <w:gridSpan w:val="3"/>
            <w:tcBorders>
              <w:top w:val="single" w:sz="8" w:space="0" w:color="00000A"/>
              <w:left w:val="nil"/>
              <w:bottom w:val="nil"/>
              <w:insideH w:val="nil"/>
              <w:right w:val="nil"/>
              <w:insideV w:val="nil"/>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Total </w:t>
            </w:r>
          </w:p>
        </w:tc>
        <w:tc>
          <w:tcPr>
            <w:tcW w:w="1166" w:type="dxa"/>
            <w:gridSpan w:val="3"/>
            <w:tcBorders>
              <w:top w:val="single" w:sz="8" w:space="0" w:color="00000A"/>
              <w:left w:val="nil"/>
              <w:bottom w:val="nil"/>
              <w:insideH w:val="nil"/>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w:t>
            </w:r>
          </w:p>
        </w:tc>
      </w:tr>
      <w:tr>
        <w:trPr>
          <w:trHeight w:val="315" w:hRule="atLeast"/>
          <w:cantSplit w:val="false"/>
        </w:trPr>
        <w:tc>
          <w:tcPr>
            <w:tcW w:w="2621" w:type="dxa"/>
            <w:tcBorders>
              <w:top w:val="nil"/>
              <w:left w:val="single" w:sz="8" w:space="0" w:color="00000A"/>
              <w:bottom w:val="single" w:sz="8" w:space="0" w:color="00000A"/>
              <w:insideH w:val="single" w:sz="8"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w:t>
            </w:r>
          </w:p>
        </w:tc>
        <w:tc>
          <w:tcPr>
            <w:tcW w:w="1140" w:type="dxa"/>
            <w:tcBorders>
              <w:top w:val="nil"/>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Mtep </w:t>
            </w:r>
          </w:p>
        </w:tc>
        <w:tc>
          <w:tcPr>
            <w:tcW w:w="965" w:type="dxa"/>
            <w:gridSpan w:val="2"/>
            <w:tcBorders>
              <w:top w:val="nil"/>
              <w:left w:val="nil"/>
              <w:bottom w:val="single" w:sz="8" w:space="0" w:color="00000A"/>
              <w:insideH w:val="single" w:sz="8" w:space="0" w:color="00000A"/>
              <w:right w:val="nil"/>
              <w:insideV w:val="nil"/>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w:t>
            </w:r>
          </w:p>
        </w:tc>
        <w:tc>
          <w:tcPr>
            <w:tcW w:w="1187" w:type="dxa"/>
            <w:gridSpan w:val="2"/>
            <w:tcBorders>
              <w:top w:val="nil"/>
              <w:left w:val="single" w:sz="4" w:space="0" w:color="00000A"/>
              <w:bottom w:val="single" w:sz="8" w:space="0" w:color="00000A"/>
              <w:insideH w:val="single" w:sz="8" w:space="0" w:color="00000A"/>
              <w:right w:val="single" w:sz="4" w:space="0" w:color="00000A"/>
              <w:insideV w:val="single" w:sz="4" w:space="0" w:color="00000A"/>
            </w:tcBorders>
            <w:shd w:fill="FFFFFF" w:val="clear"/>
            <w:tcMar>
              <w:left w:w="65" w:type="dxa"/>
            </w:tcM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Mtep </w:t>
            </w:r>
          </w:p>
        </w:tc>
        <w:tc>
          <w:tcPr>
            <w:tcW w:w="965" w:type="dxa"/>
            <w:gridSpan w:val="3"/>
            <w:tcBorders>
              <w:top w:val="nil"/>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w:t>
            </w:r>
          </w:p>
        </w:tc>
        <w:tc>
          <w:tcPr>
            <w:tcW w:w="1163" w:type="dxa"/>
            <w:gridSpan w:val="3"/>
            <w:tcBorders>
              <w:top w:val="nil"/>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Mtep </w:t>
            </w:r>
          </w:p>
        </w:tc>
        <w:tc>
          <w:tcPr>
            <w:tcW w:w="1166" w:type="dxa"/>
            <w:gridSpan w:val="3"/>
            <w:tcBorders>
              <w:top w:val="nil"/>
              <w:left w:val="nil"/>
              <w:bottom w:val="single" w:sz="8" w:space="0" w:color="00000A"/>
              <w:insideH w:val="single" w:sz="8"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w:t>
            </w:r>
          </w:p>
        </w:tc>
      </w:tr>
      <w:tr>
        <w:trPr>
          <w:trHeight w:val="300" w:hRule="atLeast"/>
          <w:cantSplit w:val="false"/>
        </w:trPr>
        <w:tc>
          <w:tcPr>
            <w:tcW w:w="2621"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Charbon</w:t>
            </w:r>
          </w:p>
        </w:tc>
        <w:tc>
          <w:tcPr>
            <w:tcW w:w="1140"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0,10   </w:t>
            </w:r>
          </w:p>
        </w:tc>
        <w:tc>
          <w:tcPr>
            <w:tcW w:w="965"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0,07%</w:t>
            </w:r>
          </w:p>
        </w:tc>
        <w:tc>
          <w:tcPr>
            <w:tcW w:w="1187"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8,60   </w:t>
            </w:r>
          </w:p>
        </w:tc>
        <w:tc>
          <w:tcPr>
            <w:tcW w:w="965" w:type="dxa"/>
            <w:gridSpan w:val="3"/>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7,23%</w:t>
            </w:r>
          </w:p>
        </w:tc>
        <w:tc>
          <w:tcPr>
            <w:tcW w:w="1163" w:type="dxa"/>
            <w:gridSpan w:val="3"/>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8,70   </w:t>
            </w:r>
          </w:p>
        </w:tc>
        <w:tc>
          <w:tcPr>
            <w:tcW w:w="1166" w:type="dxa"/>
            <w:gridSpan w:val="3"/>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3,38%</w:t>
            </w:r>
          </w:p>
        </w:tc>
      </w:tr>
      <w:tr>
        <w:trPr>
          <w:trHeight w:val="300" w:hRule="atLeast"/>
          <w:cantSplit w:val="false"/>
        </w:trPr>
        <w:tc>
          <w:tcPr>
            <w:tcW w:w="2621"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Pétrole</w:t>
            </w:r>
          </w:p>
        </w:tc>
        <w:tc>
          <w:tcPr>
            <w:tcW w:w="1140"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1,10   </w:t>
            </w:r>
          </w:p>
        </w:tc>
        <w:tc>
          <w:tcPr>
            <w:tcW w:w="965"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0,80%</w:t>
            </w:r>
          </w:p>
        </w:tc>
        <w:tc>
          <w:tcPr>
            <w:tcW w:w="1187"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76,70   </w:t>
            </w:r>
          </w:p>
        </w:tc>
        <w:tc>
          <w:tcPr>
            <w:tcW w:w="965" w:type="dxa"/>
            <w:gridSpan w:val="3"/>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64,51%</w:t>
            </w:r>
          </w:p>
        </w:tc>
        <w:tc>
          <w:tcPr>
            <w:tcW w:w="1163" w:type="dxa"/>
            <w:gridSpan w:val="3"/>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77,80   </w:t>
            </w:r>
          </w:p>
        </w:tc>
        <w:tc>
          <w:tcPr>
            <w:tcW w:w="1166" w:type="dxa"/>
            <w:gridSpan w:val="3"/>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30,26%</w:t>
            </w:r>
          </w:p>
        </w:tc>
      </w:tr>
      <w:tr>
        <w:trPr>
          <w:trHeight w:val="300" w:hRule="atLeast"/>
          <w:cantSplit w:val="false"/>
        </w:trPr>
        <w:tc>
          <w:tcPr>
            <w:tcW w:w="2621"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Gaz</w:t>
            </w:r>
          </w:p>
        </w:tc>
        <w:tc>
          <w:tcPr>
            <w:tcW w:w="1140"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1,20   </w:t>
            </w:r>
          </w:p>
        </w:tc>
        <w:tc>
          <w:tcPr>
            <w:tcW w:w="965"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0,87%</w:t>
            </w:r>
          </w:p>
        </w:tc>
        <w:tc>
          <w:tcPr>
            <w:tcW w:w="1187"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33,60   </w:t>
            </w:r>
          </w:p>
        </w:tc>
        <w:tc>
          <w:tcPr>
            <w:tcW w:w="965" w:type="dxa"/>
            <w:gridSpan w:val="3"/>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28,26%</w:t>
            </w:r>
          </w:p>
        </w:tc>
        <w:tc>
          <w:tcPr>
            <w:tcW w:w="1163" w:type="dxa"/>
            <w:gridSpan w:val="3"/>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34,80   </w:t>
            </w:r>
          </w:p>
        </w:tc>
        <w:tc>
          <w:tcPr>
            <w:tcW w:w="1166" w:type="dxa"/>
            <w:gridSpan w:val="3"/>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13,54%</w:t>
            </w:r>
          </w:p>
        </w:tc>
      </w:tr>
      <w:tr>
        <w:trPr>
          <w:trHeight w:val="300" w:hRule="atLeast"/>
          <w:cantSplit w:val="false"/>
        </w:trPr>
        <w:tc>
          <w:tcPr>
            <w:tcW w:w="2621"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Electricité (N )</w:t>
            </w:r>
          </w:p>
        </w:tc>
        <w:tc>
          <w:tcPr>
            <w:tcW w:w="1140"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113,80   </w:t>
            </w:r>
          </w:p>
        </w:tc>
        <w:tc>
          <w:tcPr>
            <w:tcW w:w="965"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82,34%</w:t>
            </w:r>
          </w:p>
        </w:tc>
        <w:tc>
          <w:tcPr>
            <w:tcW w:w="1187"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w:t>
            </w:r>
          </w:p>
        </w:tc>
        <w:tc>
          <w:tcPr>
            <w:tcW w:w="965" w:type="dxa"/>
            <w:gridSpan w:val="3"/>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w:t>
            </w:r>
          </w:p>
        </w:tc>
        <w:tc>
          <w:tcPr>
            <w:tcW w:w="1163" w:type="dxa"/>
            <w:gridSpan w:val="3"/>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113,80   </w:t>
            </w:r>
          </w:p>
        </w:tc>
        <w:tc>
          <w:tcPr>
            <w:tcW w:w="1166" w:type="dxa"/>
            <w:gridSpan w:val="3"/>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44,26%</w:t>
            </w:r>
          </w:p>
        </w:tc>
      </w:tr>
      <w:tr>
        <w:trPr>
          <w:trHeight w:val="300" w:hRule="atLeast"/>
          <w:cantSplit w:val="false"/>
        </w:trPr>
        <w:tc>
          <w:tcPr>
            <w:tcW w:w="2621"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Electricité (H + autres ENR)</w:t>
            </w:r>
          </w:p>
        </w:tc>
        <w:tc>
          <w:tcPr>
            <w:tcW w:w="1140"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7,80   </w:t>
            </w:r>
          </w:p>
        </w:tc>
        <w:tc>
          <w:tcPr>
            <w:tcW w:w="965"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5,64%</w:t>
            </w:r>
          </w:p>
        </w:tc>
        <w:tc>
          <w:tcPr>
            <w:tcW w:w="1187"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w:t>
            </w:r>
          </w:p>
        </w:tc>
        <w:tc>
          <w:tcPr>
            <w:tcW w:w="965" w:type="dxa"/>
            <w:gridSpan w:val="3"/>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w:t>
            </w:r>
          </w:p>
        </w:tc>
        <w:tc>
          <w:tcPr>
            <w:tcW w:w="1163" w:type="dxa"/>
            <w:gridSpan w:val="3"/>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7,80   </w:t>
            </w:r>
          </w:p>
        </w:tc>
        <w:tc>
          <w:tcPr>
            <w:tcW w:w="1166" w:type="dxa"/>
            <w:gridSpan w:val="3"/>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3,03%</w:t>
            </w:r>
          </w:p>
        </w:tc>
      </w:tr>
      <w:tr>
        <w:trPr>
          <w:trHeight w:val="300" w:hRule="atLeast"/>
          <w:cantSplit w:val="false"/>
        </w:trPr>
        <w:tc>
          <w:tcPr>
            <w:tcW w:w="2621"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Biomasse</w:t>
            </w:r>
          </w:p>
        </w:tc>
        <w:tc>
          <w:tcPr>
            <w:tcW w:w="1140"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12,10   </w:t>
            </w:r>
          </w:p>
        </w:tc>
        <w:tc>
          <w:tcPr>
            <w:tcW w:w="965"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8,76%</w:t>
            </w:r>
          </w:p>
        </w:tc>
        <w:tc>
          <w:tcPr>
            <w:tcW w:w="1187"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w:t>
            </w:r>
          </w:p>
        </w:tc>
        <w:tc>
          <w:tcPr>
            <w:tcW w:w="965" w:type="dxa"/>
            <w:gridSpan w:val="3"/>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w:t>
            </w:r>
          </w:p>
        </w:tc>
        <w:tc>
          <w:tcPr>
            <w:tcW w:w="1163" w:type="dxa"/>
            <w:gridSpan w:val="3"/>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12,10   </w:t>
            </w:r>
          </w:p>
        </w:tc>
        <w:tc>
          <w:tcPr>
            <w:tcW w:w="1166" w:type="dxa"/>
            <w:gridSpan w:val="3"/>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4,71%</w:t>
            </w:r>
          </w:p>
        </w:tc>
      </w:tr>
      <w:tr>
        <w:trPr>
          <w:trHeight w:val="315" w:hRule="atLeast"/>
          <w:cantSplit w:val="false"/>
        </w:trPr>
        <w:tc>
          <w:tcPr>
            <w:tcW w:w="2621" w:type="dxa"/>
            <w:tcBorders>
              <w:top w:val="nil"/>
              <w:left w:val="single" w:sz="8" w:space="0" w:color="00000A"/>
              <w:bottom w:val="nil"/>
              <w:insideH w:val="nil"/>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Autres ENR Thermique</w:t>
            </w:r>
          </w:p>
        </w:tc>
        <w:tc>
          <w:tcPr>
            <w:tcW w:w="1140" w:type="dxa"/>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2,10   </w:t>
            </w:r>
          </w:p>
        </w:tc>
        <w:tc>
          <w:tcPr>
            <w:tcW w:w="965" w:type="dxa"/>
            <w:gridSpan w:val="2"/>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1,52%</w:t>
            </w:r>
          </w:p>
        </w:tc>
        <w:tc>
          <w:tcPr>
            <w:tcW w:w="1187" w:type="dxa"/>
            <w:gridSpan w:val="2"/>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w:t>
            </w:r>
          </w:p>
        </w:tc>
        <w:tc>
          <w:tcPr>
            <w:tcW w:w="965" w:type="dxa"/>
            <w:gridSpan w:val="3"/>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w:t>
            </w:r>
          </w:p>
        </w:tc>
        <w:tc>
          <w:tcPr>
            <w:tcW w:w="1163" w:type="dxa"/>
            <w:gridSpan w:val="3"/>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2,10   </w:t>
            </w:r>
          </w:p>
        </w:tc>
        <w:tc>
          <w:tcPr>
            <w:tcW w:w="1166" w:type="dxa"/>
            <w:gridSpan w:val="3"/>
            <w:tcBorders>
              <w:top w:val="nil"/>
              <w:left w:val="nil"/>
              <w:bottom w:val="nil"/>
              <w:insideH w:val="nil"/>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0,82%</w:t>
            </w:r>
          </w:p>
        </w:tc>
      </w:tr>
      <w:tr>
        <w:trPr>
          <w:trHeight w:val="315" w:hRule="atLeast"/>
          <w:cantSplit w:val="false"/>
        </w:trPr>
        <w:tc>
          <w:tcPr>
            <w:tcW w:w="2621" w:type="dxa"/>
            <w:tcBorders>
              <w:top w:val="single" w:sz="8" w:space="0" w:color="00000A"/>
              <w:left w:val="single" w:sz="8" w:space="0" w:color="00000A"/>
              <w:bottom w:val="single" w:sz="8" w:space="0" w:color="00000A"/>
              <w:insideH w:val="single" w:sz="8"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Total</w:t>
            </w:r>
          </w:p>
        </w:tc>
        <w:tc>
          <w:tcPr>
            <w:tcW w:w="1140" w:type="dxa"/>
            <w:tcBorders>
              <w:top w:val="single" w:sz="8" w:space="0" w:color="00000A"/>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138,20   </w:t>
            </w:r>
          </w:p>
        </w:tc>
        <w:tc>
          <w:tcPr>
            <w:tcW w:w="965" w:type="dxa"/>
            <w:gridSpan w:val="2"/>
            <w:tcBorders>
              <w:top w:val="single" w:sz="8" w:space="0" w:color="00000A"/>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100,00%</w:t>
            </w:r>
          </w:p>
        </w:tc>
        <w:tc>
          <w:tcPr>
            <w:tcW w:w="1187" w:type="dxa"/>
            <w:gridSpan w:val="2"/>
            <w:tcBorders>
              <w:top w:val="single" w:sz="8" w:space="0" w:color="00000A"/>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118,90   </w:t>
            </w:r>
          </w:p>
        </w:tc>
        <w:tc>
          <w:tcPr>
            <w:tcW w:w="965" w:type="dxa"/>
            <w:gridSpan w:val="3"/>
            <w:tcBorders>
              <w:top w:val="single" w:sz="8" w:space="0" w:color="00000A"/>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100,00%</w:t>
            </w:r>
          </w:p>
        </w:tc>
        <w:tc>
          <w:tcPr>
            <w:tcW w:w="1163" w:type="dxa"/>
            <w:gridSpan w:val="3"/>
            <w:tcBorders>
              <w:top w:val="single" w:sz="8" w:space="0" w:color="00000A"/>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257,10   </w:t>
            </w:r>
          </w:p>
        </w:tc>
        <w:tc>
          <w:tcPr>
            <w:tcW w:w="1166" w:type="dxa"/>
            <w:gridSpan w:val="3"/>
            <w:tcBorders>
              <w:top w:val="single" w:sz="8" w:space="0" w:color="00000A"/>
              <w:left w:val="nil"/>
              <w:bottom w:val="single" w:sz="8" w:space="0" w:color="00000A"/>
              <w:insideH w:val="single" w:sz="8"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100,00%</w:t>
            </w:r>
          </w:p>
        </w:tc>
      </w:tr>
      <w:tr>
        <w:trPr>
          <w:trHeight w:val="300" w:hRule="atLeast"/>
          <w:cantSplit w:val="false"/>
        </w:trPr>
        <w:tc>
          <w:tcPr>
            <w:tcW w:w="2621" w:type="dxa"/>
            <w:tcBorders>
              <w:top w:val="nil"/>
              <w:left w:val="nil"/>
              <w:bottom w:val="nil"/>
              <w:insideH w:val="nil"/>
              <w:right w:val="nil"/>
              <w:insideV w:val="nil"/>
            </w:tcBorders>
            <w:shd w:fill="FFFFFF" w:val="clear"/>
            <w:vAlign w:val="bottom"/>
          </w:tcPr>
          <w:p>
            <w:pPr>
              <w:pStyle w:val="Normal"/>
              <w:spacing w:lineRule="auto" w:line="240" w:before="0" w:after="0"/>
              <w:rPr/>
            </w:pPr>
            <w:r>
              <w:rPr/>
              <w:drawing>
                <wp:inline distT="0" distB="0" distL="0" distR="0">
                  <wp:extent cx="5047615" cy="4237990"/>
                  <wp:effectExtent l="0" t="0" r="0" b="0"/>
                  <wp:docPr id="1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2600"/>
            </w:tblGrid>
            <w:tr>
              <w:trPr>
                <w:trHeight w:val="300" w:hRule="atLeast"/>
                <w:cantSplit w:val="false"/>
              </w:trPr>
              <w:tc>
                <w:tcPr>
                  <w:tcW w:w="2600"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bl>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140"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8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6"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2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140"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8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6"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2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140"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8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6"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2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140"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8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6"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2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140"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8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6"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2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140"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8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6"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2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140"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8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6"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2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140"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8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6"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2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140"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8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6"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2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140"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8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6"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2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140"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8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6"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2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140"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8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6"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2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140"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8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6"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2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140"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8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6"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2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140"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8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6"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2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140"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8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6"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2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140"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8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6"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2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140"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8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6"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2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140"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8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6"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2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140"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8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6"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2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140"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8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6"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2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140"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8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6"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2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140"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8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6"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3762"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t>ENR = Energies renouvelables</w:t>
            </w:r>
          </w:p>
        </w:tc>
        <w:tc>
          <w:tcPr>
            <w:tcW w:w="96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8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2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t>H = Hydraulique</w:t>
            </w:r>
          </w:p>
        </w:tc>
        <w:tc>
          <w:tcPr>
            <w:tcW w:w="1140"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8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6"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2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t>N = Nucléaire</w:t>
            </w:r>
          </w:p>
        </w:tc>
        <w:tc>
          <w:tcPr>
            <w:tcW w:w="1140"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8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6"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2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140"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8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6"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5915" w:type="dxa"/>
            <w:gridSpan w:val="8"/>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Arial" w:ascii="Arial" w:hAnsi="Arial"/>
                <w:i/>
                <w:iCs/>
                <w:color w:val="000000"/>
                <w:sz w:val="20"/>
                <w:szCs w:val="20"/>
                <w:lang w:eastAsia="fr-FR"/>
              </w:rPr>
            </w:pPr>
            <w:r>
              <w:rPr>
                <w:rFonts w:eastAsia="Times New Roman" w:cs="Arial" w:ascii="Arial" w:hAnsi="Arial"/>
                <w:i/>
                <w:iCs/>
                <w:color w:val="000000"/>
                <w:sz w:val="20"/>
                <w:szCs w:val="20"/>
                <w:lang w:eastAsia="fr-FR"/>
              </w:rPr>
              <w:t>Source : Commissariat Général au Développement Durable</w:t>
            </w:r>
          </w:p>
        </w:tc>
        <w:tc>
          <w:tcPr>
            <w:tcW w:w="965"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4"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3762"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Arial" w:ascii="Arial" w:hAnsi="Arial"/>
                <w:i/>
                <w:iCs/>
                <w:color w:val="000000"/>
                <w:lang w:eastAsia="fr-FR"/>
              </w:rPr>
            </w:pPr>
            <w:r>
              <w:rPr>
                <w:rFonts w:eastAsia="Times New Roman" w:cs="Arial" w:ascii="Arial" w:hAnsi="Arial"/>
                <w:i/>
                <w:iCs/>
                <w:color w:val="000000"/>
                <w:lang w:eastAsia="fr-FR"/>
              </w:rPr>
              <w:t>Repères - Chiffres clés de lénergie</w:t>
            </w:r>
          </w:p>
        </w:tc>
        <w:tc>
          <w:tcPr>
            <w:tcW w:w="96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8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65"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65"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bl>
    <w:p>
      <w:pPr>
        <w:pStyle w:val="Normal"/>
        <w:rPr/>
      </w:pPr>
      <w:r>
        <w:rPr/>
      </w:r>
    </w:p>
    <w:p>
      <w:pPr>
        <w:pStyle w:val="Normal"/>
        <w:rPr/>
      </w:pPr>
      <w:r>
        <w:rPr/>
      </w:r>
    </w:p>
    <w:p>
      <w:pPr>
        <w:pStyle w:val="Normal"/>
        <w:rPr/>
      </w:pPr>
      <w:r>
        <w:rPr/>
      </w:r>
    </w:p>
    <w:tbl>
      <w:tblPr>
        <w:jc w:val="left"/>
        <w:tblInd w:w="70" w:type="dxa"/>
        <w:tblBorders>
          <w:top w:val="nil"/>
          <w:left w:val="nil"/>
          <w:bottom w:val="nil"/>
          <w:insideH w:val="nil"/>
          <w:right w:val="nil"/>
          <w:insideV w:val="nil"/>
        </w:tblBorders>
        <w:tblCellMar>
          <w:top w:w="0" w:type="dxa"/>
          <w:left w:w="70" w:type="dxa"/>
          <w:bottom w:w="0" w:type="dxa"/>
          <w:right w:w="70" w:type="dxa"/>
        </w:tblCellMar>
      </w:tblPr>
      <w:tblGrid>
        <w:gridCol w:w="2681"/>
        <w:gridCol w:w="625"/>
        <w:gridCol w:w="759"/>
        <w:gridCol w:w="3179"/>
        <w:gridCol w:w="625"/>
        <w:gridCol w:w="906"/>
      </w:tblGrid>
      <w:tr>
        <w:trPr>
          <w:trHeight w:val="360" w:hRule="atLeast"/>
          <w:cantSplit w:val="false"/>
        </w:trPr>
        <w:tc>
          <w:tcPr>
            <w:tcW w:w="8775" w:type="dxa"/>
            <w:gridSpan w:val="6"/>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Arial" w:ascii="Arial" w:hAnsi="Arial"/>
                <w:b/>
                <w:bCs/>
                <w:color w:val="000000"/>
                <w:sz w:val="28"/>
                <w:szCs w:val="28"/>
                <w:lang w:eastAsia="fr-FR"/>
              </w:rPr>
            </w:pPr>
            <w:r>
              <w:rPr>
                <w:rFonts w:eastAsia="Times New Roman" w:cs="Arial" w:ascii="Arial" w:hAnsi="Arial"/>
                <w:b/>
                <w:bCs/>
                <w:color w:val="000000"/>
                <w:sz w:val="28"/>
                <w:szCs w:val="28"/>
                <w:lang w:eastAsia="fr-FR"/>
              </w:rPr>
              <w:t>Tableau 2 : France 2015 - Energies renouvelables primaires</w:t>
            </w:r>
          </w:p>
        </w:tc>
      </w:tr>
      <w:tr>
        <w:trPr>
          <w:trHeight w:val="315" w:hRule="atLeast"/>
          <w:cantSplit w:val="false"/>
        </w:trPr>
        <w:tc>
          <w:tcPr>
            <w:tcW w:w="26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Arial" w:ascii="Arial" w:hAnsi="Arial"/>
                <w:b/>
                <w:bCs/>
                <w:color w:val="000000"/>
                <w:lang w:eastAsia="fr-FR"/>
              </w:rPr>
            </w:pPr>
            <w:r>
              <w:rPr>
                <w:rFonts w:eastAsia="Times New Roman" w:cs="Arial" w:ascii="Arial" w:hAnsi="Arial"/>
                <w:b/>
                <w:bCs/>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Arial" w:ascii="Arial" w:hAnsi="Arial"/>
                <w:b/>
                <w:bCs/>
                <w:color w:val="000000"/>
                <w:lang w:eastAsia="fr-FR"/>
              </w:rPr>
            </w:pPr>
            <w:r>
              <w:rPr>
                <w:rFonts w:eastAsia="Times New Roman" w:cs="Arial" w:ascii="Arial" w:hAnsi="Arial"/>
                <w:b/>
                <w:bCs/>
                <w:color w:val="000000"/>
                <w:lang w:eastAsia="fr-FR"/>
              </w:rPr>
            </w:r>
          </w:p>
        </w:tc>
        <w:tc>
          <w:tcPr>
            <w:tcW w:w="75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Arial" w:ascii="Arial" w:hAnsi="Arial"/>
                <w:b/>
                <w:bCs/>
                <w:color w:val="000000"/>
                <w:lang w:eastAsia="fr-FR"/>
              </w:rPr>
            </w:pPr>
            <w:r>
              <w:rPr>
                <w:rFonts w:eastAsia="Times New Roman" w:cs="Arial" w:ascii="Arial" w:hAnsi="Arial"/>
                <w:b/>
                <w:bCs/>
                <w:color w:val="000000"/>
                <w:lang w:eastAsia="fr-FR"/>
              </w:rPr>
            </w:r>
          </w:p>
        </w:tc>
        <w:tc>
          <w:tcPr>
            <w:tcW w:w="317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r>
          </w:p>
        </w:tc>
        <w:tc>
          <w:tcPr>
            <w:tcW w:w="90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r>
          </w:p>
        </w:tc>
      </w:tr>
      <w:tr>
        <w:trPr>
          <w:trHeight w:val="315" w:hRule="atLeast"/>
          <w:cantSplit w:val="false"/>
        </w:trPr>
        <w:tc>
          <w:tcPr>
            <w:tcW w:w="2681" w:type="dxa"/>
            <w:tcBorders>
              <w:top w:val="single" w:sz="8" w:space="0" w:color="00000A"/>
              <w:left w:val="single" w:sz="8" w:space="0" w:color="00000A"/>
              <w:bottom w:val="nil"/>
              <w:insideH w:val="nil"/>
              <w:right w:val="single" w:sz="8" w:space="0" w:color="00000A"/>
              <w:insideV w:val="single" w:sz="8"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Energie</w:t>
            </w:r>
          </w:p>
        </w:tc>
        <w:tc>
          <w:tcPr>
            <w:tcW w:w="625" w:type="dxa"/>
            <w:tcBorders>
              <w:top w:val="single" w:sz="8" w:space="0" w:color="00000A"/>
              <w:left w:val="nil"/>
              <w:bottom w:val="nil"/>
              <w:insideH w:val="nil"/>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Mtep</w:t>
            </w:r>
          </w:p>
        </w:tc>
        <w:tc>
          <w:tcPr>
            <w:tcW w:w="759" w:type="dxa"/>
            <w:tcBorders>
              <w:top w:val="single" w:sz="8" w:space="0" w:color="00000A"/>
              <w:left w:val="nil"/>
              <w:bottom w:val="nil"/>
              <w:insideH w:val="nil"/>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w:t>
            </w:r>
          </w:p>
        </w:tc>
        <w:tc>
          <w:tcPr>
            <w:tcW w:w="3179" w:type="dxa"/>
            <w:tcBorders>
              <w:top w:val="single" w:sz="8" w:space="0" w:color="00000A"/>
              <w:left w:val="nil"/>
              <w:bottom w:val="nil"/>
              <w:insideH w:val="nil"/>
              <w:right w:val="single" w:sz="4" w:space="0" w:color="00000A"/>
              <w:insideV w:val="single" w:sz="4" w:space="0" w:color="00000A"/>
            </w:tcBorders>
            <w:shd w:fill="FFFFFF" w:val="cle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w:t>
            </w:r>
          </w:p>
        </w:tc>
        <w:tc>
          <w:tcPr>
            <w:tcW w:w="625" w:type="dxa"/>
            <w:tcBorders>
              <w:top w:val="single" w:sz="8" w:space="0" w:color="00000A"/>
              <w:left w:val="nil"/>
              <w:bottom w:val="nil"/>
              <w:insideH w:val="nil"/>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Mtep</w:t>
            </w:r>
          </w:p>
        </w:tc>
        <w:tc>
          <w:tcPr>
            <w:tcW w:w="906" w:type="dxa"/>
            <w:tcBorders>
              <w:top w:val="single" w:sz="8" w:space="0" w:color="00000A"/>
              <w:left w:val="nil"/>
              <w:bottom w:val="nil"/>
              <w:insideH w:val="nil"/>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w:t>
            </w:r>
          </w:p>
        </w:tc>
      </w:tr>
      <w:tr>
        <w:trPr>
          <w:trHeight w:val="300" w:hRule="atLeast"/>
          <w:cantSplit w:val="false"/>
        </w:trPr>
        <w:tc>
          <w:tcPr>
            <w:tcW w:w="2681" w:type="dxa"/>
            <w:tcBorders>
              <w:top w:val="single" w:sz="8" w:space="0" w:color="00000A"/>
              <w:left w:val="single" w:sz="8" w:space="0" w:color="00000A"/>
              <w:bottom w:val="single" w:sz="4" w:space="0" w:color="00000A"/>
              <w:insideH w:val="single" w:sz="4" w:space="0" w:color="00000A"/>
              <w:right w:val="single" w:sz="8" w:space="0" w:color="00000A"/>
              <w:insideV w:val="single" w:sz="8"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Hydraulique</w:t>
            </w:r>
          </w:p>
        </w:tc>
        <w:tc>
          <w:tcPr>
            <w:tcW w:w="625" w:type="dxa"/>
            <w:tcBorders>
              <w:top w:val="single" w:sz="8" w:space="0" w:color="00000A"/>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5,3</w:t>
            </w:r>
          </w:p>
        </w:tc>
        <w:tc>
          <w:tcPr>
            <w:tcW w:w="759" w:type="dxa"/>
            <w:tcBorders>
              <w:top w:val="single" w:sz="8" w:space="0" w:color="00000A"/>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23,6%</w:t>
            </w:r>
          </w:p>
        </w:tc>
        <w:tc>
          <w:tcPr>
            <w:tcW w:w="3179" w:type="dxa"/>
            <w:tcBorders>
              <w:top w:val="single" w:sz="8" w:space="0" w:color="00000A"/>
              <w:left w:val="nil"/>
              <w:bottom w:val="nil"/>
              <w:insideH w:val="nil"/>
              <w:right w:val="single" w:sz="4" w:space="0" w:color="00000A"/>
              <w:insideV w:val="single" w:sz="4" w:space="0" w:color="00000A"/>
            </w:tcBorders>
            <w:shd w:fill="FFFFFF" w:val="cle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w:t>
            </w:r>
          </w:p>
        </w:tc>
        <w:tc>
          <w:tcPr>
            <w:tcW w:w="625" w:type="dxa"/>
            <w:tcBorders>
              <w:top w:val="single" w:sz="8" w:space="0" w:color="00000A"/>
              <w:left w:val="nil"/>
              <w:bottom w:val="nil"/>
              <w:insideH w:val="nil"/>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w:t>
            </w:r>
          </w:p>
        </w:tc>
        <w:tc>
          <w:tcPr>
            <w:tcW w:w="906" w:type="dxa"/>
            <w:tcBorders>
              <w:top w:val="single" w:sz="8" w:space="0" w:color="00000A"/>
              <w:left w:val="nil"/>
              <w:bottom w:val="nil"/>
              <w:insideH w:val="nil"/>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w:t>
            </w:r>
          </w:p>
        </w:tc>
      </w:tr>
      <w:tr>
        <w:trPr>
          <w:trHeight w:val="300" w:hRule="atLeast"/>
          <w:cantSplit w:val="false"/>
        </w:trPr>
        <w:tc>
          <w:tcPr>
            <w:tcW w:w="2681" w:type="dxa"/>
            <w:tcBorders>
              <w:top w:val="nil"/>
              <w:left w:val="single" w:sz="8" w:space="0" w:color="00000A"/>
              <w:bottom w:val="single" w:sz="4" w:space="0" w:color="00000A"/>
              <w:insideH w:val="single" w:sz="4" w:space="0" w:color="00000A"/>
              <w:right w:val="single" w:sz="8" w:space="0" w:color="00000A"/>
              <w:insideV w:val="single" w:sz="8"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Eolien</w:t>
            </w:r>
          </w:p>
        </w:tc>
        <w:tc>
          <w:tcPr>
            <w:tcW w:w="62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1,5</w:t>
            </w:r>
          </w:p>
        </w:tc>
        <w:tc>
          <w:tcPr>
            <w:tcW w:w="759"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6,7%</w:t>
            </w:r>
          </w:p>
        </w:tc>
        <w:tc>
          <w:tcPr>
            <w:tcW w:w="3179" w:type="dxa"/>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w:t>
            </w:r>
          </w:p>
        </w:tc>
        <w:tc>
          <w:tcPr>
            <w:tcW w:w="625" w:type="dxa"/>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w:t>
            </w:r>
          </w:p>
        </w:tc>
        <w:tc>
          <w:tcPr>
            <w:tcW w:w="906" w:type="dxa"/>
            <w:tcBorders>
              <w:top w:val="nil"/>
              <w:left w:val="nil"/>
              <w:bottom w:val="nil"/>
              <w:insideH w:val="nil"/>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w:t>
            </w:r>
          </w:p>
        </w:tc>
      </w:tr>
      <w:tr>
        <w:trPr>
          <w:trHeight w:val="300" w:hRule="atLeast"/>
          <w:cantSplit w:val="false"/>
        </w:trPr>
        <w:tc>
          <w:tcPr>
            <w:tcW w:w="2681" w:type="dxa"/>
            <w:tcBorders>
              <w:top w:val="nil"/>
              <w:left w:val="single" w:sz="8" w:space="0" w:color="00000A"/>
              <w:bottom w:val="single" w:sz="4" w:space="0" w:color="00000A"/>
              <w:insideH w:val="single" w:sz="4" w:space="0" w:color="00000A"/>
              <w:right w:val="single" w:sz="8" w:space="0" w:color="00000A"/>
              <w:insideV w:val="single" w:sz="8"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Photovoltaïque</w:t>
            </w:r>
          </w:p>
        </w:tc>
        <w:tc>
          <w:tcPr>
            <w:tcW w:w="62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0,55</w:t>
            </w:r>
          </w:p>
        </w:tc>
        <w:tc>
          <w:tcPr>
            <w:tcW w:w="759"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2,4%</w:t>
            </w:r>
          </w:p>
        </w:tc>
        <w:tc>
          <w:tcPr>
            <w:tcW w:w="3179" w:type="dxa"/>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w:t>
            </w:r>
          </w:p>
        </w:tc>
        <w:tc>
          <w:tcPr>
            <w:tcW w:w="625" w:type="dxa"/>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w:t>
            </w:r>
          </w:p>
        </w:tc>
        <w:tc>
          <w:tcPr>
            <w:tcW w:w="906" w:type="dxa"/>
            <w:tcBorders>
              <w:top w:val="nil"/>
              <w:left w:val="nil"/>
              <w:bottom w:val="nil"/>
              <w:insideH w:val="nil"/>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w:t>
            </w:r>
          </w:p>
        </w:tc>
      </w:tr>
      <w:tr>
        <w:trPr>
          <w:trHeight w:val="300" w:hRule="atLeast"/>
          <w:cantSplit w:val="false"/>
        </w:trPr>
        <w:tc>
          <w:tcPr>
            <w:tcW w:w="2681" w:type="dxa"/>
            <w:tcBorders>
              <w:top w:val="nil"/>
              <w:left w:val="single" w:sz="8" w:space="0" w:color="00000A"/>
              <w:bottom w:val="single" w:sz="4" w:space="0" w:color="00000A"/>
              <w:insideH w:val="single" w:sz="4" w:space="0" w:color="00000A"/>
              <w:right w:val="single" w:sz="8" w:space="0" w:color="00000A"/>
              <w:insideV w:val="single" w:sz="8"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Géothermie électrique</w:t>
            </w:r>
          </w:p>
        </w:tc>
        <w:tc>
          <w:tcPr>
            <w:tcW w:w="62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0,05</w:t>
            </w:r>
          </w:p>
        </w:tc>
        <w:tc>
          <w:tcPr>
            <w:tcW w:w="759"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0,2%</w:t>
            </w:r>
          </w:p>
        </w:tc>
        <w:tc>
          <w:tcPr>
            <w:tcW w:w="3179" w:type="dxa"/>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w:t>
            </w:r>
          </w:p>
        </w:tc>
        <w:tc>
          <w:tcPr>
            <w:tcW w:w="625" w:type="dxa"/>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w:t>
            </w:r>
          </w:p>
        </w:tc>
        <w:tc>
          <w:tcPr>
            <w:tcW w:w="906" w:type="dxa"/>
            <w:tcBorders>
              <w:top w:val="nil"/>
              <w:left w:val="nil"/>
              <w:bottom w:val="nil"/>
              <w:insideH w:val="nil"/>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w:t>
            </w:r>
          </w:p>
        </w:tc>
      </w:tr>
      <w:tr>
        <w:trPr>
          <w:trHeight w:val="315" w:hRule="atLeast"/>
          <w:cantSplit w:val="false"/>
        </w:trPr>
        <w:tc>
          <w:tcPr>
            <w:tcW w:w="2681" w:type="dxa"/>
            <w:tcBorders>
              <w:top w:val="nil"/>
              <w:left w:val="single" w:sz="8" w:space="0" w:color="00000A"/>
              <w:bottom w:val="nil"/>
              <w:insideH w:val="nil"/>
              <w:right w:val="single" w:sz="8" w:space="0" w:color="00000A"/>
              <w:insideV w:val="single" w:sz="8"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w:t>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w:t>
            </w:r>
          </w:p>
        </w:tc>
        <w:tc>
          <w:tcPr>
            <w:tcW w:w="759" w:type="dxa"/>
            <w:tcBorders>
              <w:top w:val="nil"/>
              <w:left w:val="nil"/>
              <w:bottom w:val="nil"/>
              <w:insideH w:val="nil"/>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w:t>
            </w:r>
          </w:p>
        </w:tc>
        <w:tc>
          <w:tcPr>
            <w:tcW w:w="3179" w:type="dxa"/>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Sous total ENR électriques</w:t>
            </w:r>
          </w:p>
        </w:tc>
        <w:tc>
          <w:tcPr>
            <w:tcW w:w="625" w:type="dxa"/>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7,4</w:t>
            </w:r>
          </w:p>
        </w:tc>
        <w:tc>
          <w:tcPr>
            <w:tcW w:w="906" w:type="dxa"/>
            <w:tcBorders>
              <w:top w:val="nil"/>
              <w:left w:val="nil"/>
              <w:bottom w:val="nil"/>
              <w:insideH w:val="nil"/>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32,9%</w:t>
            </w:r>
          </w:p>
        </w:tc>
      </w:tr>
      <w:tr>
        <w:trPr>
          <w:trHeight w:val="300" w:hRule="atLeast"/>
          <w:cantSplit w:val="false"/>
        </w:trPr>
        <w:tc>
          <w:tcPr>
            <w:tcW w:w="2681" w:type="dxa"/>
            <w:tcBorders>
              <w:top w:val="single" w:sz="8" w:space="0" w:color="00000A"/>
              <w:left w:val="single" w:sz="8" w:space="0" w:color="00000A"/>
              <w:bottom w:val="single" w:sz="4" w:space="0" w:color="00000A"/>
              <w:insideH w:val="single" w:sz="4" w:space="0" w:color="00000A"/>
              <w:right w:val="nil"/>
              <w:insideV w:val="nil"/>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Bois énergie</w:t>
            </w:r>
          </w:p>
        </w:tc>
        <w:tc>
          <w:tcPr>
            <w:tcW w:w="625" w:type="dxa"/>
            <w:tcBorders>
              <w:top w:val="single" w:sz="8" w:space="0" w:color="00000A"/>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8,8</w:t>
            </w:r>
          </w:p>
        </w:tc>
        <w:tc>
          <w:tcPr>
            <w:tcW w:w="759" w:type="dxa"/>
            <w:tcBorders>
              <w:top w:val="single" w:sz="8" w:space="0" w:color="00000A"/>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39,1%</w:t>
            </w:r>
          </w:p>
        </w:tc>
        <w:tc>
          <w:tcPr>
            <w:tcW w:w="3179" w:type="dxa"/>
            <w:tcBorders>
              <w:top w:val="single" w:sz="8" w:space="0" w:color="00000A"/>
              <w:left w:val="nil"/>
              <w:bottom w:val="nil"/>
              <w:insideH w:val="nil"/>
              <w:right w:val="single" w:sz="4" w:space="0" w:color="00000A"/>
              <w:insideV w:val="single" w:sz="4" w:space="0" w:color="00000A"/>
            </w:tcBorders>
            <w:shd w:fill="FFFFFF" w:val="cle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w:t>
            </w:r>
          </w:p>
        </w:tc>
        <w:tc>
          <w:tcPr>
            <w:tcW w:w="625" w:type="dxa"/>
            <w:tcBorders>
              <w:top w:val="single" w:sz="8" w:space="0" w:color="00000A"/>
              <w:left w:val="nil"/>
              <w:bottom w:val="nil"/>
              <w:insideH w:val="nil"/>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w:t>
            </w:r>
          </w:p>
        </w:tc>
        <w:tc>
          <w:tcPr>
            <w:tcW w:w="906" w:type="dxa"/>
            <w:tcBorders>
              <w:top w:val="single" w:sz="8" w:space="0" w:color="00000A"/>
              <w:left w:val="nil"/>
              <w:bottom w:val="nil"/>
              <w:insideH w:val="nil"/>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w:t>
            </w:r>
          </w:p>
        </w:tc>
      </w:tr>
      <w:tr>
        <w:trPr>
          <w:trHeight w:val="300" w:hRule="atLeast"/>
          <w:cantSplit w:val="false"/>
        </w:trPr>
        <w:tc>
          <w:tcPr>
            <w:tcW w:w="2681" w:type="dxa"/>
            <w:tcBorders>
              <w:top w:val="nil"/>
              <w:left w:val="single" w:sz="8" w:space="0" w:color="00000A"/>
              <w:bottom w:val="single" w:sz="4" w:space="0" w:color="00000A"/>
              <w:insideH w:val="single" w:sz="4" w:space="0" w:color="00000A"/>
              <w:right w:val="nil"/>
              <w:insideV w:val="nil"/>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Agrocarburants</w:t>
            </w:r>
          </w:p>
        </w:tc>
        <w:tc>
          <w:tcPr>
            <w:tcW w:w="625"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2,6</w:t>
            </w:r>
          </w:p>
        </w:tc>
        <w:tc>
          <w:tcPr>
            <w:tcW w:w="759"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11,6%</w:t>
            </w:r>
          </w:p>
        </w:tc>
        <w:tc>
          <w:tcPr>
            <w:tcW w:w="3179" w:type="dxa"/>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w:t>
            </w:r>
          </w:p>
        </w:tc>
        <w:tc>
          <w:tcPr>
            <w:tcW w:w="625" w:type="dxa"/>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w:t>
            </w:r>
          </w:p>
        </w:tc>
        <w:tc>
          <w:tcPr>
            <w:tcW w:w="906" w:type="dxa"/>
            <w:tcBorders>
              <w:top w:val="nil"/>
              <w:left w:val="nil"/>
              <w:bottom w:val="nil"/>
              <w:insideH w:val="nil"/>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w:t>
            </w:r>
          </w:p>
        </w:tc>
      </w:tr>
      <w:tr>
        <w:trPr>
          <w:trHeight w:val="300" w:hRule="atLeast"/>
          <w:cantSplit w:val="false"/>
        </w:trPr>
        <w:tc>
          <w:tcPr>
            <w:tcW w:w="2681" w:type="dxa"/>
            <w:tcBorders>
              <w:top w:val="nil"/>
              <w:left w:val="single" w:sz="8" w:space="0" w:color="00000A"/>
              <w:bottom w:val="single" w:sz="4" w:space="0" w:color="00000A"/>
              <w:insideH w:val="single" w:sz="4" w:space="0" w:color="00000A"/>
              <w:right w:val="nil"/>
              <w:insideV w:val="nil"/>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Pompes à chaleur</w:t>
            </w:r>
          </w:p>
        </w:tc>
        <w:tc>
          <w:tcPr>
            <w:tcW w:w="625"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1,5</w:t>
            </w:r>
          </w:p>
        </w:tc>
        <w:tc>
          <w:tcPr>
            <w:tcW w:w="759"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6,7%</w:t>
            </w:r>
          </w:p>
        </w:tc>
        <w:tc>
          <w:tcPr>
            <w:tcW w:w="3179" w:type="dxa"/>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w:t>
            </w:r>
          </w:p>
        </w:tc>
        <w:tc>
          <w:tcPr>
            <w:tcW w:w="625" w:type="dxa"/>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w:t>
            </w:r>
          </w:p>
        </w:tc>
        <w:tc>
          <w:tcPr>
            <w:tcW w:w="906" w:type="dxa"/>
            <w:tcBorders>
              <w:top w:val="nil"/>
              <w:left w:val="nil"/>
              <w:bottom w:val="nil"/>
              <w:insideH w:val="nil"/>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w:t>
            </w:r>
          </w:p>
        </w:tc>
      </w:tr>
      <w:tr>
        <w:trPr>
          <w:trHeight w:val="300" w:hRule="atLeast"/>
          <w:cantSplit w:val="false"/>
        </w:trPr>
        <w:tc>
          <w:tcPr>
            <w:tcW w:w="2681" w:type="dxa"/>
            <w:tcBorders>
              <w:top w:val="nil"/>
              <w:left w:val="single" w:sz="8" w:space="0" w:color="00000A"/>
              <w:bottom w:val="single" w:sz="4" w:space="0" w:color="00000A"/>
              <w:insideH w:val="single" w:sz="4" w:space="0" w:color="00000A"/>
              <w:right w:val="nil"/>
              <w:insideV w:val="nil"/>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Déchets urbains</w:t>
            </w:r>
          </w:p>
        </w:tc>
        <w:tc>
          <w:tcPr>
            <w:tcW w:w="625"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1,1</w:t>
            </w:r>
          </w:p>
        </w:tc>
        <w:tc>
          <w:tcPr>
            <w:tcW w:w="759"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4,9%</w:t>
            </w:r>
          </w:p>
        </w:tc>
        <w:tc>
          <w:tcPr>
            <w:tcW w:w="3179" w:type="dxa"/>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w:t>
            </w:r>
          </w:p>
        </w:tc>
        <w:tc>
          <w:tcPr>
            <w:tcW w:w="625" w:type="dxa"/>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w:t>
            </w:r>
          </w:p>
        </w:tc>
        <w:tc>
          <w:tcPr>
            <w:tcW w:w="906" w:type="dxa"/>
            <w:tcBorders>
              <w:top w:val="nil"/>
              <w:left w:val="nil"/>
              <w:bottom w:val="nil"/>
              <w:insideH w:val="nil"/>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w:t>
            </w:r>
          </w:p>
        </w:tc>
      </w:tr>
      <w:tr>
        <w:trPr>
          <w:trHeight w:val="300" w:hRule="atLeast"/>
          <w:cantSplit w:val="false"/>
        </w:trPr>
        <w:tc>
          <w:tcPr>
            <w:tcW w:w="2681" w:type="dxa"/>
            <w:tcBorders>
              <w:top w:val="nil"/>
              <w:left w:val="single" w:sz="8" w:space="0" w:color="00000A"/>
              <w:bottom w:val="single" w:sz="4" w:space="0" w:color="00000A"/>
              <w:insideH w:val="single" w:sz="4" w:space="0" w:color="00000A"/>
              <w:right w:val="nil"/>
              <w:insideV w:val="nil"/>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Résidus agricoles</w:t>
            </w:r>
          </w:p>
        </w:tc>
        <w:tc>
          <w:tcPr>
            <w:tcW w:w="625"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0,3</w:t>
            </w:r>
          </w:p>
        </w:tc>
        <w:tc>
          <w:tcPr>
            <w:tcW w:w="759"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1,3%</w:t>
            </w:r>
          </w:p>
        </w:tc>
        <w:tc>
          <w:tcPr>
            <w:tcW w:w="3179" w:type="dxa"/>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w:t>
            </w:r>
          </w:p>
        </w:tc>
        <w:tc>
          <w:tcPr>
            <w:tcW w:w="625" w:type="dxa"/>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w:t>
            </w:r>
          </w:p>
        </w:tc>
        <w:tc>
          <w:tcPr>
            <w:tcW w:w="906" w:type="dxa"/>
            <w:tcBorders>
              <w:top w:val="nil"/>
              <w:left w:val="nil"/>
              <w:bottom w:val="nil"/>
              <w:insideH w:val="nil"/>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w:t>
            </w:r>
          </w:p>
        </w:tc>
      </w:tr>
      <w:tr>
        <w:trPr>
          <w:trHeight w:val="300" w:hRule="atLeast"/>
          <w:cantSplit w:val="false"/>
        </w:trPr>
        <w:tc>
          <w:tcPr>
            <w:tcW w:w="2681" w:type="dxa"/>
            <w:tcBorders>
              <w:top w:val="nil"/>
              <w:left w:val="single" w:sz="8" w:space="0" w:color="00000A"/>
              <w:bottom w:val="single" w:sz="4" w:space="0" w:color="00000A"/>
              <w:insideH w:val="single" w:sz="4" w:space="0" w:color="00000A"/>
              <w:right w:val="nil"/>
              <w:insideV w:val="nil"/>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Biogaz</w:t>
            </w:r>
          </w:p>
        </w:tc>
        <w:tc>
          <w:tcPr>
            <w:tcW w:w="625"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0,5</w:t>
            </w:r>
          </w:p>
        </w:tc>
        <w:tc>
          <w:tcPr>
            <w:tcW w:w="759"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2,2%</w:t>
            </w:r>
          </w:p>
        </w:tc>
        <w:tc>
          <w:tcPr>
            <w:tcW w:w="3179" w:type="dxa"/>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w:t>
            </w:r>
          </w:p>
        </w:tc>
        <w:tc>
          <w:tcPr>
            <w:tcW w:w="625" w:type="dxa"/>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w:t>
            </w:r>
          </w:p>
        </w:tc>
        <w:tc>
          <w:tcPr>
            <w:tcW w:w="906" w:type="dxa"/>
            <w:tcBorders>
              <w:top w:val="nil"/>
              <w:left w:val="nil"/>
              <w:bottom w:val="nil"/>
              <w:insideH w:val="nil"/>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w:t>
            </w:r>
          </w:p>
        </w:tc>
      </w:tr>
      <w:tr>
        <w:trPr>
          <w:trHeight w:val="300" w:hRule="atLeast"/>
          <w:cantSplit w:val="false"/>
        </w:trPr>
        <w:tc>
          <w:tcPr>
            <w:tcW w:w="2681" w:type="dxa"/>
            <w:tcBorders>
              <w:top w:val="nil"/>
              <w:left w:val="single" w:sz="8" w:space="0" w:color="00000A"/>
              <w:bottom w:val="single" w:sz="4" w:space="0" w:color="00000A"/>
              <w:insideH w:val="single" w:sz="4" w:space="0" w:color="00000A"/>
              <w:right w:val="nil"/>
              <w:insideV w:val="nil"/>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Solaire thermique</w:t>
            </w:r>
          </w:p>
        </w:tc>
        <w:tc>
          <w:tcPr>
            <w:tcW w:w="625"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0,1</w:t>
            </w:r>
          </w:p>
        </w:tc>
        <w:tc>
          <w:tcPr>
            <w:tcW w:w="759"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0,4%</w:t>
            </w:r>
          </w:p>
        </w:tc>
        <w:tc>
          <w:tcPr>
            <w:tcW w:w="3179" w:type="dxa"/>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w:t>
            </w:r>
          </w:p>
        </w:tc>
        <w:tc>
          <w:tcPr>
            <w:tcW w:w="625" w:type="dxa"/>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w:t>
            </w:r>
          </w:p>
        </w:tc>
        <w:tc>
          <w:tcPr>
            <w:tcW w:w="906" w:type="dxa"/>
            <w:tcBorders>
              <w:top w:val="nil"/>
              <w:left w:val="nil"/>
              <w:bottom w:val="nil"/>
              <w:insideH w:val="nil"/>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w:t>
            </w:r>
          </w:p>
        </w:tc>
      </w:tr>
      <w:tr>
        <w:trPr>
          <w:trHeight w:val="300" w:hRule="atLeast"/>
          <w:cantSplit w:val="false"/>
        </w:trPr>
        <w:tc>
          <w:tcPr>
            <w:tcW w:w="2681" w:type="dxa"/>
            <w:tcBorders>
              <w:top w:val="nil"/>
              <w:left w:val="single" w:sz="8" w:space="0" w:color="00000A"/>
              <w:bottom w:val="single" w:sz="4" w:space="0" w:color="00000A"/>
              <w:insideH w:val="single" w:sz="4" w:space="0" w:color="00000A"/>
              <w:right w:val="single" w:sz="8" w:space="0" w:color="00000A"/>
              <w:insideV w:val="single" w:sz="8"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Géothermie thermique</w:t>
            </w:r>
          </w:p>
        </w:tc>
        <w:tc>
          <w:tcPr>
            <w:tcW w:w="62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0,2</w:t>
            </w:r>
          </w:p>
        </w:tc>
        <w:tc>
          <w:tcPr>
            <w:tcW w:w="759"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0,9%</w:t>
            </w:r>
          </w:p>
        </w:tc>
        <w:tc>
          <w:tcPr>
            <w:tcW w:w="3179" w:type="dxa"/>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w:t>
            </w:r>
          </w:p>
        </w:tc>
        <w:tc>
          <w:tcPr>
            <w:tcW w:w="625" w:type="dxa"/>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w:t>
            </w:r>
          </w:p>
        </w:tc>
        <w:tc>
          <w:tcPr>
            <w:tcW w:w="906" w:type="dxa"/>
            <w:tcBorders>
              <w:top w:val="nil"/>
              <w:left w:val="nil"/>
              <w:bottom w:val="nil"/>
              <w:insideH w:val="nil"/>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w:t>
            </w:r>
          </w:p>
        </w:tc>
      </w:tr>
      <w:tr>
        <w:trPr>
          <w:trHeight w:val="315" w:hRule="atLeast"/>
          <w:cantSplit w:val="false"/>
        </w:trPr>
        <w:tc>
          <w:tcPr>
            <w:tcW w:w="2681" w:type="dxa"/>
            <w:tcBorders>
              <w:top w:val="nil"/>
              <w:left w:val="single" w:sz="8" w:space="0" w:color="00000A"/>
              <w:bottom w:val="single" w:sz="8" w:space="0" w:color="00000A"/>
              <w:insideH w:val="single" w:sz="8" w:space="0" w:color="00000A"/>
              <w:right w:val="single" w:sz="8" w:space="0" w:color="00000A"/>
              <w:insideV w:val="single" w:sz="8"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w:t>
            </w:r>
          </w:p>
        </w:tc>
        <w:tc>
          <w:tcPr>
            <w:tcW w:w="625" w:type="dxa"/>
            <w:tcBorders>
              <w:top w:val="nil"/>
              <w:left w:val="nil"/>
              <w:bottom w:val="single" w:sz="8" w:space="0" w:color="00000A"/>
              <w:insideH w:val="single" w:sz="8" w:space="0" w:color="00000A"/>
              <w:right w:val="nil"/>
              <w:insideV w:val="nil"/>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w:t>
            </w:r>
          </w:p>
        </w:tc>
        <w:tc>
          <w:tcPr>
            <w:tcW w:w="759" w:type="dxa"/>
            <w:tcBorders>
              <w:top w:val="nil"/>
              <w:left w:val="nil"/>
              <w:bottom w:val="single" w:sz="8" w:space="0" w:color="00000A"/>
              <w:insideH w:val="single" w:sz="8"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w:t>
            </w:r>
          </w:p>
        </w:tc>
        <w:tc>
          <w:tcPr>
            <w:tcW w:w="3179" w:type="dxa"/>
            <w:tcBorders>
              <w:top w:val="nil"/>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Sous-total ENR thermiques</w:t>
            </w:r>
          </w:p>
        </w:tc>
        <w:tc>
          <w:tcPr>
            <w:tcW w:w="625" w:type="dxa"/>
            <w:tcBorders>
              <w:top w:val="nil"/>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15,1</w:t>
            </w:r>
          </w:p>
        </w:tc>
        <w:tc>
          <w:tcPr>
            <w:tcW w:w="906" w:type="dxa"/>
            <w:tcBorders>
              <w:top w:val="nil"/>
              <w:left w:val="nil"/>
              <w:bottom w:val="single" w:sz="8" w:space="0" w:color="00000A"/>
              <w:insideH w:val="single" w:sz="8"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67,1%</w:t>
            </w:r>
          </w:p>
        </w:tc>
      </w:tr>
      <w:tr>
        <w:trPr>
          <w:trHeight w:val="315" w:hRule="atLeast"/>
          <w:cantSplit w:val="false"/>
        </w:trPr>
        <w:tc>
          <w:tcPr>
            <w:tcW w:w="2681" w:type="dxa"/>
            <w:tcBorders>
              <w:top w:val="nil"/>
              <w:left w:val="single" w:sz="8" w:space="0" w:color="00000A"/>
              <w:bottom w:val="single" w:sz="8" w:space="0" w:color="00000A"/>
              <w:insideH w:val="single" w:sz="8" w:space="0" w:color="00000A"/>
              <w:right w:val="nil"/>
              <w:insideV w:val="nil"/>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 </w:t>
            </w:r>
          </w:p>
        </w:tc>
        <w:tc>
          <w:tcPr>
            <w:tcW w:w="625" w:type="dxa"/>
            <w:tcBorders>
              <w:top w:val="nil"/>
              <w:left w:val="nil"/>
              <w:bottom w:val="single" w:sz="8" w:space="0" w:color="00000A"/>
              <w:insideH w:val="single" w:sz="8" w:space="0" w:color="00000A"/>
              <w:right w:val="nil"/>
              <w:insideV w:val="nil"/>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w:t>
            </w:r>
          </w:p>
        </w:tc>
        <w:tc>
          <w:tcPr>
            <w:tcW w:w="759" w:type="dxa"/>
            <w:tcBorders>
              <w:top w:val="nil"/>
              <w:left w:val="nil"/>
              <w:bottom w:val="single" w:sz="8" w:space="0" w:color="00000A"/>
              <w:insideH w:val="single" w:sz="8" w:space="0" w:color="00000A"/>
              <w:right w:val="nil"/>
              <w:insideV w:val="nil"/>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w:t>
            </w:r>
          </w:p>
        </w:tc>
        <w:tc>
          <w:tcPr>
            <w:tcW w:w="3179" w:type="dxa"/>
            <w:tcBorders>
              <w:top w:val="nil"/>
              <w:left w:val="single" w:sz="8" w:space="0" w:color="00000A"/>
              <w:bottom w:val="single" w:sz="8" w:space="0" w:color="00000A"/>
              <w:insideH w:val="single" w:sz="8"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Total</w:t>
            </w:r>
          </w:p>
        </w:tc>
        <w:tc>
          <w:tcPr>
            <w:tcW w:w="625" w:type="dxa"/>
            <w:tcBorders>
              <w:top w:val="nil"/>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22,5</w:t>
            </w:r>
          </w:p>
        </w:tc>
        <w:tc>
          <w:tcPr>
            <w:tcW w:w="906" w:type="dxa"/>
            <w:tcBorders>
              <w:top w:val="nil"/>
              <w:left w:val="nil"/>
              <w:bottom w:val="single" w:sz="8" w:space="0" w:color="00000A"/>
              <w:insideH w:val="single" w:sz="8"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100,0%</w:t>
            </w:r>
          </w:p>
        </w:tc>
      </w:tr>
      <w:tr>
        <w:trPr>
          <w:trHeight w:val="300" w:hRule="atLeast"/>
          <w:cantSplit w:val="false"/>
        </w:trPr>
        <w:tc>
          <w:tcPr>
            <w:tcW w:w="2681" w:type="dxa"/>
            <w:tcBorders>
              <w:top w:val="nil"/>
              <w:left w:val="nil"/>
              <w:bottom w:val="nil"/>
              <w:insideH w:val="nil"/>
              <w:right w:val="nil"/>
              <w:insideV w:val="nil"/>
            </w:tcBorders>
            <w:shd w:fill="FFFFFF" w:val="clear"/>
            <w:vAlign w:val="bottom"/>
          </w:tcPr>
          <w:p>
            <w:pPr>
              <w:pStyle w:val="Normal"/>
              <w:spacing w:lineRule="auto" w:line="240" w:before="0" w:after="0"/>
              <w:rPr/>
            </w:pPr>
            <w:r>
              <w:rPr/>
              <w:drawing>
                <wp:inline distT="0" distB="0" distL="0" distR="0">
                  <wp:extent cx="5029200" cy="4029075"/>
                  <wp:effectExtent l="0" t="0" r="0" b="0"/>
                  <wp:docPr id="1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2260"/>
            </w:tblGrid>
            <w:tr>
              <w:trPr>
                <w:trHeight w:val="300" w:hRule="atLeast"/>
                <w:cantSplit w:val="false"/>
              </w:trPr>
              <w:tc>
                <w:tcPr>
                  <w:tcW w:w="2260"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bl>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75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317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0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75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317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0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75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317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0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75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317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0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75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317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0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75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317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0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75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317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0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75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317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0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75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317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0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75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317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0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75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317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0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75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317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0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75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317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0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75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317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0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75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317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0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75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317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0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75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317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0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75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317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0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75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317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0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75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317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0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75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317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0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68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759"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3179"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625"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90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8775" w:type="dxa"/>
            <w:gridSpan w:val="6"/>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Arial" w:ascii="Arial" w:hAnsi="Arial"/>
                <w:i/>
                <w:iCs/>
                <w:color w:val="000000"/>
                <w:sz w:val="20"/>
                <w:szCs w:val="20"/>
                <w:lang w:eastAsia="fr-FR"/>
              </w:rPr>
            </w:pPr>
            <w:r>
              <w:rPr>
                <w:rFonts w:eastAsia="Times New Roman" w:cs="Arial" w:ascii="Arial" w:hAnsi="Arial"/>
                <w:i/>
                <w:iCs/>
                <w:color w:val="000000"/>
                <w:sz w:val="20"/>
                <w:szCs w:val="20"/>
                <w:lang w:eastAsia="fr-FR"/>
              </w:rPr>
              <w:t>Source : Commissariat Général au Développement Durable - Repères - Chiffres clés de l'énergie</w:t>
            </w:r>
          </w:p>
        </w:tc>
      </w:tr>
    </w:tbl>
    <w:p>
      <w:pPr>
        <w:pStyle w:val="Normal"/>
        <w:rPr/>
      </w:pPr>
      <w:r>
        <w:rPr/>
      </w:r>
    </w:p>
    <w:p>
      <w:pPr>
        <w:pStyle w:val="Normal"/>
        <w:rPr/>
      </w:pPr>
      <w:r>
        <w:rPr/>
      </w:r>
    </w:p>
    <w:p>
      <w:pPr>
        <w:pStyle w:val="Normal"/>
        <w:rPr/>
      </w:pPr>
      <w:r>
        <w:rPr/>
      </w:r>
    </w:p>
    <w:p>
      <w:pPr>
        <w:pStyle w:val="Normal"/>
        <w:rPr/>
      </w:pPr>
      <w:r>
        <w:rPr/>
      </w:r>
    </w:p>
    <w:tbl>
      <w:tblPr>
        <w:jc w:val="left"/>
        <w:tblInd w:w="70" w:type="dxa"/>
        <w:tblBorders>
          <w:top w:val="nil"/>
          <w:left w:val="nil"/>
          <w:bottom w:val="nil"/>
          <w:insideH w:val="nil"/>
          <w:right w:val="nil"/>
          <w:insideV w:val="nil"/>
        </w:tblBorders>
        <w:tblCellMar>
          <w:top w:w="0" w:type="dxa"/>
          <w:left w:w="70" w:type="dxa"/>
          <w:bottom w:w="0" w:type="dxa"/>
          <w:right w:w="70" w:type="dxa"/>
        </w:tblCellMar>
      </w:tblPr>
      <w:tblGrid>
        <w:gridCol w:w="2961"/>
        <w:gridCol w:w="1321"/>
        <w:gridCol w:w="1237"/>
        <w:gridCol w:w="142"/>
        <w:gridCol w:w="142"/>
        <w:gridCol w:w="1"/>
        <w:gridCol w:w="1414"/>
        <w:gridCol w:w="1"/>
        <w:gridCol w:w="1"/>
        <w:gridCol w:w="1067"/>
        <w:gridCol w:w="1"/>
        <w:gridCol w:w="1"/>
        <w:gridCol w:w="1115"/>
      </w:tblGrid>
      <w:tr>
        <w:trPr>
          <w:trHeight w:val="405" w:hRule="atLeast"/>
          <w:cantSplit w:val="false"/>
        </w:trPr>
        <w:tc>
          <w:tcPr>
            <w:tcW w:w="8289" w:type="dxa"/>
            <w:gridSpan w:val="1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Arial" w:ascii="Arial" w:hAnsi="Arial"/>
                <w:b/>
                <w:bCs/>
                <w:color w:val="000000"/>
                <w:sz w:val="32"/>
                <w:szCs w:val="32"/>
                <w:lang w:eastAsia="fr-FR"/>
              </w:rPr>
            </w:pPr>
            <w:r>
              <w:rPr>
                <w:rFonts w:eastAsia="Times New Roman" w:cs="Arial" w:ascii="Arial" w:hAnsi="Arial"/>
                <w:b/>
                <w:bCs/>
                <w:color w:val="000000"/>
                <w:sz w:val="32"/>
                <w:szCs w:val="32"/>
                <w:lang w:eastAsia="fr-FR"/>
              </w:rPr>
              <w:t xml:space="preserve">Tableau 3 : France 2015 - Energie finale utilisée </w:t>
            </w:r>
          </w:p>
        </w:tc>
        <w:tc>
          <w:tcPr>
            <w:tcW w:w="1115"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15" w:hRule="atLeast"/>
          <w:cantSplit w:val="false"/>
        </w:trPr>
        <w:tc>
          <w:tcPr>
            <w:tcW w:w="296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321"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23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69"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17"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15" w:hRule="atLeast"/>
          <w:cantSplit w:val="false"/>
        </w:trPr>
        <w:tc>
          <w:tcPr>
            <w:tcW w:w="2961" w:type="dxa"/>
            <w:tcBorders>
              <w:top w:val="single" w:sz="8" w:space="0" w:color="00000A"/>
              <w:left w:val="single" w:sz="8" w:space="0" w:color="00000A"/>
              <w:bottom w:val="single" w:sz="8" w:space="0" w:color="00000A"/>
              <w:insideH w:val="single" w:sz="8"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Energie utilisée finale</w:t>
            </w:r>
          </w:p>
        </w:tc>
        <w:tc>
          <w:tcPr>
            <w:tcW w:w="1321" w:type="dxa"/>
            <w:tcBorders>
              <w:top w:val="single" w:sz="8" w:space="0" w:color="00000A"/>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Mtep </w:t>
            </w:r>
          </w:p>
        </w:tc>
        <w:tc>
          <w:tcPr>
            <w:tcW w:w="1237" w:type="dxa"/>
            <w:tcBorders>
              <w:top w:val="single" w:sz="8" w:space="0" w:color="00000A"/>
              <w:left w:val="nil"/>
              <w:bottom w:val="single" w:sz="8" w:space="0" w:color="00000A"/>
              <w:insideH w:val="single" w:sz="8"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w:t>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5" w:type="dxa"/>
            <w:gridSpan w:val="2"/>
            <w:tcBorders>
              <w:top w:val="single" w:sz="8" w:space="0" w:color="00000A"/>
              <w:left w:val="single" w:sz="8" w:space="0" w:color="00000A"/>
              <w:bottom w:val="single" w:sz="8" w:space="0" w:color="00000A"/>
              <w:insideH w:val="single" w:sz="8"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Utilisation</w:t>
            </w:r>
          </w:p>
        </w:tc>
        <w:tc>
          <w:tcPr>
            <w:tcW w:w="1069" w:type="dxa"/>
            <w:gridSpan w:val="3"/>
            <w:tcBorders>
              <w:top w:val="single" w:sz="8" w:space="0" w:color="00000A"/>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Mtep </w:t>
            </w:r>
          </w:p>
        </w:tc>
        <w:tc>
          <w:tcPr>
            <w:tcW w:w="1117" w:type="dxa"/>
            <w:gridSpan w:val="3"/>
            <w:tcBorders>
              <w:top w:val="single" w:sz="8" w:space="0" w:color="00000A"/>
              <w:left w:val="nil"/>
              <w:bottom w:val="single" w:sz="8" w:space="0" w:color="00000A"/>
              <w:insideH w:val="single" w:sz="8"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w:t>
            </w:r>
          </w:p>
        </w:tc>
      </w:tr>
      <w:tr>
        <w:trPr>
          <w:trHeight w:val="300" w:hRule="atLeast"/>
          <w:cantSplit w:val="false"/>
        </w:trPr>
        <w:tc>
          <w:tcPr>
            <w:tcW w:w="2961"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Biomasse</w:t>
            </w:r>
          </w:p>
        </w:tc>
        <w:tc>
          <w:tcPr>
            <w:tcW w:w="132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10,00   </w:t>
            </w:r>
          </w:p>
        </w:tc>
        <w:tc>
          <w:tcPr>
            <w:tcW w:w="1237"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6,1%</w:t>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5" w:type="dxa"/>
            <w:gridSpan w:val="2"/>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Résidentiel</w:t>
            </w:r>
          </w:p>
        </w:tc>
        <w:tc>
          <w:tcPr>
            <w:tcW w:w="1069" w:type="dxa"/>
            <w:gridSpan w:val="3"/>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46,30   </w:t>
            </w:r>
          </w:p>
        </w:tc>
        <w:tc>
          <w:tcPr>
            <w:tcW w:w="1117" w:type="dxa"/>
            <w:gridSpan w:val="3"/>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28,2%</w:t>
            </w:r>
          </w:p>
        </w:tc>
      </w:tr>
      <w:tr>
        <w:trPr>
          <w:trHeight w:val="300" w:hRule="atLeast"/>
          <w:cantSplit w:val="false"/>
        </w:trPr>
        <w:tc>
          <w:tcPr>
            <w:tcW w:w="2961"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Pétrole</w:t>
            </w:r>
          </w:p>
        </w:tc>
        <w:tc>
          <w:tcPr>
            <w:tcW w:w="132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73,40   </w:t>
            </w:r>
          </w:p>
        </w:tc>
        <w:tc>
          <w:tcPr>
            <w:tcW w:w="1237"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44,8%</w:t>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5" w:type="dxa"/>
            <w:gridSpan w:val="2"/>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Industrie</w:t>
            </w:r>
          </w:p>
        </w:tc>
        <w:tc>
          <w:tcPr>
            <w:tcW w:w="1069" w:type="dxa"/>
            <w:gridSpan w:val="3"/>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28,80   </w:t>
            </w:r>
          </w:p>
        </w:tc>
        <w:tc>
          <w:tcPr>
            <w:tcW w:w="1117" w:type="dxa"/>
            <w:gridSpan w:val="3"/>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17,6%</w:t>
            </w:r>
          </w:p>
        </w:tc>
      </w:tr>
      <w:tr>
        <w:trPr>
          <w:trHeight w:val="300" w:hRule="atLeast"/>
          <w:cantSplit w:val="false"/>
        </w:trPr>
        <w:tc>
          <w:tcPr>
            <w:tcW w:w="2961"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Charbon</w:t>
            </w:r>
          </w:p>
        </w:tc>
        <w:tc>
          <w:tcPr>
            <w:tcW w:w="132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5,60   </w:t>
            </w:r>
          </w:p>
        </w:tc>
        <w:tc>
          <w:tcPr>
            <w:tcW w:w="1237"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3,4%</w:t>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5" w:type="dxa"/>
            <w:gridSpan w:val="2"/>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Transports</w:t>
            </w:r>
          </w:p>
        </w:tc>
        <w:tc>
          <w:tcPr>
            <w:tcW w:w="1069" w:type="dxa"/>
            <w:gridSpan w:val="3"/>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48,80   </w:t>
            </w:r>
          </w:p>
        </w:tc>
        <w:tc>
          <w:tcPr>
            <w:tcW w:w="1117" w:type="dxa"/>
            <w:gridSpan w:val="3"/>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29,8%</w:t>
            </w:r>
          </w:p>
        </w:tc>
      </w:tr>
      <w:tr>
        <w:trPr>
          <w:trHeight w:val="300" w:hRule="atLeast"/>
          <w:cantSplit w:val="false"/>
        </w:trPr>
        <w:tc>
          <w:tcPr>
            <w:tcW w:w="2961"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Gaz</w:t>
            </w:r>
          </w:p>
        </w:tc>
        <w:tc>
          <w:tcPr>
            <w:tcW w:w="132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32,50   </w:t>
            </w:r>
          </w:p>
        </w:tc>
        <w:tc>
          <w:tcPr>
            <w:tcW w:w="1237"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19,8%</w:t>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5" w:type="dxa"/>
            <w:gridSpan w:val="2"/>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Agriculture</w:t>
            </w:r>
          </w:p>
        </w:tc>
        <w:tc>
          <w:tcPr>
            <w:tcW w:w="1069" w:type="dxa"/>
            <w:gridSpan w:val="3"/>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4,70   </w:t>
            </w:r>
          </w:p>
        </w:tc>
        <w:tc>
          <w:tcPr>
            <w:tcW w:w="1117" w:type="dxa"/>
            <w:gridSpan w:val="3"/>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2,9%</w:t>
            </w:r>
          </w:p>
        </w:tc>
      </w:tr>
      <w:tr>
        <w:trPr>
          <w:trHeight w:val="300" w:hRule="atLeast"/>
          <w:cantSplit w:val="false"/>
        </w:trPr>
        <w:tc>
          <w:tcPr>
            <w:tcW w:w="2961"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Electricité (T+H+N+ENR)</w:t>
            </w:r>
          </w:p>
        </w:tc>
        <w:tc>
          <w:tcPr>
            <w:tcW w:w="132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36,80   </w:t>
            </w:r>
          </w:p>
        </w:tc>
        <w:tc>
          <w:tcPr>
            <w:tcW w:w="1237"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22,4%</w:t>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5" w:type="dxa"/>
            <w:gridSpan w:val="2"/>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Tertiaire</w:t>
            </w:r>
          </w:p>
        </w:tc>
        <w:tc>
          <w:tcPr>
            <w:tcW w:w="1069" w:type="dxa"/>
            <w:gridSpan w:val="3"/>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21,40   </w:t>
            </w:r>
          </w:p>
        </w:tc>
        <w:tc>
          <w:tcPr>
            <w:tcW w:w="1117" w:type="dxa"/>
            <w:gridSpan w:val="3"/>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13,0%</w:t>
            </w:r>
          </w:p>
        </w:tc>
      </w:tr>
      <w:tr>
        <w:trPr>
          <w:trHeight w:val="315" w:hRule="atLeast"/>
          <w:cantSplit w:val="false"/>
        </w:trPr>
        <w:tc>
          <w:tcPr>
            <w:tcW w:w="2961" w:type="dxa"/>
            <w:tcBorders>
              <w:top w:val="nil"/>
              <w:left w:val="single" w:sz="8" w:space="0" w:color="00000A"/>
              <w:bottom w:val="single" w:sz="8" w:space="0" w:color="00000A"/>
              <w:insideH w:val="single" w:sz="8"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Autres ENR</w:t>
            </w:r>
          </w:p>
        </w:tc>
        <w:tc>
          <w:tcPr>
            <w:tcW w:w="1321" w:type="dxa"/>
            <w:tcBorders>
              <w:top w:val="nil"/>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5,70   </w:t>
            </w:r>
          </w:p>
        </w:tc>
        <w:tc>
          <w:tcPr>
            <w:tcW w:w="1237" w:type="dxa"/>
            <w:tcBorders>
              <w:top w:val="nil"/>
              <w:left w:val="nil"/>
              <w:bottom w:val="single" w:sz="8" w:space="0" w:color="00000A"/>
              <w:insideH w:val="single" w:sz="8"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3,5%</w:t>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5" w:type="dxa"/>
            <w:gridSpan w:val="2"/>
            <w:tcBorders>
              <w:top w:val="nil"/>
              <w:left w:val="single" w:sz="8" w:space="0" w:color="00000A"/>
              <w:bottom w:val="single" w:sz="8" w:space="0" w:color="00000A"/>
              <w:insideH w:val="single" w:sz="8"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Divers</w:t>
            </w:r>
          </w:p>
        </w:tc>
        <w:tc>
          <w:tcPr>
            <w:tcW w:w="1069" w:type="dxa"/>
            <w:gridSpan w:val="3"/>
            <w:tcBorders>
              <w:top w:val="nil"/>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14,00   </w:t>
            </w:r>
          </w:p>
        </w:tc>
        <w:tc>
          <w:tcPr>
            <w:tcW w:w="1117" w:type="dxa"/>
            <w:gridSpan w:val="3"/>
            <w:tcBorders>
              <w:top w:val="nil"/>
              <w:left w:val="nil"/>
              <w:bottom w:val="single" w:sz="8" w:space="0" w:color="00000A"/>
              <w:insideH w:val="single" w:sz="8"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8,5%</w:t>
            </w:r>
          </w:p>
        </w:tc>
      </w:tr>
      <w:tr>
        <w:trPr>
          <w:trHeight w:val="315" w:hRule="atLeast"/>
          <w:cantSplit w:val="false"/>
        </w:trPr>
        <w:tc>
          <w:tcPr>
            <w:tcW w:w="2961" w:type="dxa"/>
            <w:tcBorders>
              <w:top w:val="nil"/>
              <w:left w:val="single" w:sz="8" w:space="0" w:color="00000A"/>
              <w:bottom w:val="single" w:sz="8" w:space="0" w:color="00000A"/>
              <w:insideH w:val="single" w:sz="8"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Total</w:t>
            </w:r>
          </w:p>
        </w:tc>
        <w:tc>
          <w:tcPr>
            <w:tcW w:w="1321" w:type="dxa"/>
            <w:tcBorders>
              <w:top w:val="nil"/>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164,00   </w:t>
            </w:r>
          </w:p>
        </w:tc>
        <w:tc>
          <w:tcPr>
            <w:tcW w:w="1237" w:type="dxa"/>
            <w:tcBorders>
              <w:top w:val="nil"/>
              <w:left w:val="nil"/>
              <w:bottom w:val="single" w:sz="8" w:space="0" w:color="00000A"/>
              <w:insideH w:val="single" w:sz="8"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100%</w:t>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5" w:type="dxa"/>
            <w:gridSpan w:val="2"/>
            <w:tcBorders>
              <w:top w:val="nil"/>
              <w:left w:val="single" w:sz="8" w:space="0" w:color="00000A"/>
              <w:bottom w:val="single" w:sz="8" w:space="0" w:color="00000A"/>
              <w:insideH w:val="single" w:sz="8"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rPr>
                <w:rFonts w:eastAsia="Times New Roman" w:cs="Arial" w:ascii="Arial" w:hAnsi="Arial"/>
                <w:color w:val="000000"/>
                <w:lang w:eastAsia="fr-FR"/>
              </w:rPr>
            </w:pPr>
            <w:r>
              <w:rPr>
                <w:rFonts w:eastAsia="Times New Roman" w:cs="Arial" w:ascii="Arial" w:hAnsi="Arial"/>
                <w:color w:val="000000"/>
                <w:lang w:eastAsia="fr-FR"/>
              </w:rPr>
              <w:t>Total</w:t>
            </w:r>
          </w:p>
        </w:tc>
        <w:tc>
          <w:tcPr>
            <w:tcW w:w="1069" w:type="dxa"/>
            <w:gridSpan w:val="3"/>
            <w:tcBorders>
              <w:top w:val="nil"/>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 xml:space="preserve">    </w:t>
            </w:r>
            <w:r>
              <w:rPr>
                <w:rFonts w:eastAsia="Times New Roman" w:cs="Arial" w:ascii="Arial" w:hAnsi="Arial"/>
                <w:color w:val="000000"/>
                <w:lang w:eastAsia="fr-FR"/>
              </w:rPr>
              <w:t xml:space="preserve">164,00   </w:t>
            </w:r>
          </w:p>
        </w:tc>
        <w:tc>
          <w:tcPr>
            <w:tcW w:w="1117" w:type="dxa"/>
            <w:gridSpan w:val="3"/>
            <w:tcBorders>
              <w:top w:val="nil"/>
              <w:left w:val="nil"/>
              <w:bottom w:val="single" w:sz="8" w:space="0" w:color="00000A"/>
              <w:insideH w:val="single" w:sz="8"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Arial" w:ascii="Arial" w:hAnsi="Arial"/>
                <w:color w:val="000000"/>
                <w:lang w:eastAsia="fr-FR"/>
              </w:rPr>
            </w:pPr>
            <w:r>
              <w:rPr>
                <w:rFonts w:eastAsia="Times New Roman" w:cs="Arial" w:ascii="Arial" w:hAnsi="Arial"/>
                <w:color w:val="000000"/>
                <w:lang w:eastAsia="fr-FR"/>
              </w:rPr>
              <w:t>100%</w:t>
            </w:r>
          </w:p>
        </w:tc>
      </w:tr>
      <w:tr>
        <w:trPr>
          <w:trHeight w:val="300" w:hRule="atLeast"/>
          <w:cantSplit w:val="false"/>
        </w:trPr>
        <w:tc>
          <w:tcPr>
            <w:tcW w:w="2961" w:type="dxa"/>
            <w:tcBorders>
              <w:top w:val="nil"/>
              <w:left w:val="nil"/>
              <w:bottom w:val="nil"/>
              <w:insideH w:val="nil"/>
              <w:right w:val="nil"/>
              <w:insideV w:val="nil"/>
            </w:tcBorders>
            <w:shd w:fill="FFFFFF" w:val="clear"/>
            <w:vAlign w:val="bottom"/>
          </w:tcPr>
          <w:p>
            <w:pPr>
              <w:pStyle w:val="Normal"/>
              <w:spacing w:lineRule="auto" w:line="240" w:before="0" w:after="0"/>
              <w:rPr/>
            </w:pPr>
            <w:r>
              <w:rPr/>
              <w:drawing>
                <wp:inline distT="0" distB="0" distL="0" distR="0">
                  <wp:extent cx="4333875" cy="2943225"/>
                  <wp:effectExtent l="0" t="0" r="0" b="0"/>
                  <wp:docPr id="1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2380"/>
            </w:tblGrid>
            <w:tr>
              <w:trPr>
                <w:trHeight w:val="300" w:hRule="atLeast"/>
                <w:cantSplit w:val="false"/>
              </w:trPr>
              <w:tc>
                <w:tcPr>
                  <w:tcW w:w="2380"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bl>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321"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23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69"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17"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96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321"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23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69"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17"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96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321"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23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69"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17"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96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321"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23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69"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17"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96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321"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23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69"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17"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96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321"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23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69"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17"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96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321"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23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69"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17"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96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321"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23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69"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17"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96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321"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23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69"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17"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96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321"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23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69"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17"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96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321"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23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69"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17"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96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321"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23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69"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17"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96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321"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23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69"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17"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96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321"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23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69"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17"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96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321"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23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69"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17"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96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321"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23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69"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17"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96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Arial" w:ascii="Arial" w:hAnsi="Arial"/>
                <w:color w:val="000000"/>
                <w:sz w:val="18"/>
                <w:szCs w:val="18"/>
                <w:lang w:eastAsia="fr-FR"/>
              </w:rPr>
            </w:pPr>
            <w:r>
              <w:rPr>
                <w:rFonts w:eastAsia="Times New Roman" w:cs="Arial" w:ascii="Arial" w:hAnsi="Arial"/>
                <w:color w:val="000000"/>
                <w:sz w:val="18"/>
                <w:szCs w:val="18"/>
                <w:lang w:eastAsia="fr-FR"/>
              </w:rPr>
              <w:t xml:space="preserve"> </w:t>
            </w:r>
            <w:r>
              <w:rPr>
                <w:rFonts w:eastAsia="Times New Roman" w:cs="Arial" w:ascii="Arial" w:hAnsi="Arial"/>
                <w:color w:val="000000"/>
                <w:sz w:val="18"/>
                <w:szCs w:val="18"/>
                <w:lang w:eastAsia="fr-FR"/>
              </w:rPr>
              <w:t xml:space="preserve">ENR =  Energies renouvelables </w:t>
            </w:r>
          </w:p>
        </w:tc>
        <w:tc>
          <w:tcPr>
            <w:tcW w:w="132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Arial" w:ascii="Arial" w:hAnsi="Arial"/>
                <w:color w:val="000000"/>
                <w:sz w:val="18"/>
                <w:szCs w:val="18"/>
                <w:lang w:eastAsia="fr-FR"/>
              </w:rPr>
            </w:pPr>
            <w:r>
              <w:rPr>
                <w:rFonts w:eastAsia="Times New Roman" w:cs="Arial" w:ascii="Arial" w:hAnsi="Arial"/>
                <w:color w:val="000000"/>
                <w:sz w:val="18"/>
                <w:szCs w:val="18"/>
                <w:lang w:eastAsia="fr-FR"/>
              </w:rPr>
              <w:t xml:space="preserve"> </w:t>
            </w:r>
            <w:r>
              <w:rPr>
                <w:rFonts w:eastAsia="Times New Roman" w:cs="Arial" w:ascii="Arial" w:hAnsi="Arial"/>
                <w:color w:val="000000"/>
                <w:sz w:val="18"/>
                <w:szCs w:val="18"/>
                <w:lang w:eastAsia="fr-FR"/>
              </w:rPr>
              <w:t xml:space="preserve">N = Nucléaire </w:t>
            </w:r>
          </w:p>
        </w:tc>
        <w:tc>
          <w:tcPr>
            <w:tcW w:w="1522" w:type="dxa"/>
            <w:gridSpan w:val="4"/>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Arial" w:ascii="Arial" w:hAnsi="Arial"/>
                <w:color w:val="000000"/>
                <w:sz w:val="18"/>
                <w:szCs w:val="18"/>
                <w:lang w:eastAsia="fr-FR"/>
              </w:rPr>
            </w:pPr>
            <w:r>
              <w:rPr>
                <w:rFonts w:eastAsia="Times New Roman" w:cs="Arial" w:ascii="Arial" w:hAnsi="Arial"/>
                <w:color w:val="000000"/>
                <w:sz w:val="18"/>
                <w:szCs w:val="18"/>
                <w:lang w:eastAsia="fr-FR"/>
              </w:rPr>
              <w:t xml:space="preserve"> </w:t>
            </w:r>
            <w:r>
              <w:rPr>
                <w:rFonts w:eastAsia="Times New Roman" w:cs="Arial" w:ascii="Arial" w:hAnsi="Arial"/>
                <w:color w:val="000000"/>
                <w:sz w:val="18"/>
                <w:szCs w:val="18"/>
                <w:lang w:eastAsia="fr-FR"/>
              </w:rPr>
              <w:t>H = Hydraulique</w:t>
            </w:r>
          </w:p>
        </w:tc>
        <w:tc>
          <w:tcPr>
            <w:tcW w:w="141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Arial" w:ascii="Arial" w:hAnsi="Arial"/>
                <w:color w:val="000000"/>
                <w:sz w:val="18"/>
                <w:szCs w:val="18"/>
                <w:lang w:eastAsia="fr-FR"/>
              </w:rPr>
            </w:pPr>
            <w:r>
              <w:rPr>
                <w:rFonts w:eastAsia="Times New Roman" w:cs="Arial" w:ascii="Arial" w:hAnsi="Arial"/>
                <w:color w:val="000000"/>
                <w:sz w:val="18"/>
                <w:szCs w:val="18"/>
                <w:lang w:eastAsia="fr-FR"/>
              </w:rPr>
              <w:t xml:space="preserve"> </w:t>
            </w:r>
            <w:r>
              <w:rPr>
                <w:rFonts w:eastAsia="Times New Roman" w:cs="Arial" w:ascii="Arial" w:hAnsi="Arial"/>
                <w:color w:val="000000"/>
                <w:sz w:val="18"/>
                <w:szCs w:val="18"/>
                <w:lang w:eastAsia="fr-FR"/>
              </w:rPr>
              <w:t>T = Thermique</w:t>
            </w:r>
          </w:p>
        </w:tc>
        <w:tc>
          <w:tcPr>
            <w:tcW w:w="1069"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16"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961" w:type="dxa"/>
            <w:tcBorders>
              <w:top w:val="nil"/>
              <w:left w:val="nil"/>
              <w:bottom w:val="nil"/>
              <w:insideH w:val="nil"/>
              <w:right w:val="nil"/>
              <w:insideV w:val="nil"/>
            </w:tcBorders>
            <w:shd w:fill="FFFFFF" w:val="clear"/>
            <w:vAlign w:val="bottom"/>
          </w:tcPr>
          <w:p>
            <w:pPr>
              <w:pStyle w:val="Normal"/>
              <w:spacing w:lineRule="auto" w:line="240" w:before="0" w:after="0"/>
              <w:rPr/>
            </w:pPr>
            <w:r>
              <w:rPr/>
              <w:drawing>
                <wp:inline distT="0" distB="0" distL="0" distR="0">
                  <wp:extent cx="4352925" cy="2571750"/>
                  <wp:effectExtent l="0" t="0" r="0" b="0"/>
                  <wp:docPr id="1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pict>
                <v:rect fillcolor="#FFFFFF" strokecolor="#7F7F7F" strokeweight="0pt" style="position:absolute;width:210.75pt;height:19.5pt;mso-wrap-distance-left:9pt;mso-wrap-distance-right:9pt;mso-wrap-distance-top:0pt;mso-wrap-distance-bottom:0pt;margin-top:182.25pt;margin-left:129.75pt">
                  <v:textbox>
                    <w:txbxContent>
                      <w:p>
                        <w:pPr>
                          <w:pStyle w:val="NormalWeb"/>
                          <w:spacing w:before="280" w:after="280"/>
                          <w:rPr>
                            <w:rFonts w:cs="Arial" w:ascii="Arial" w:hAnsi="Arial"/>
                            <w:b/>
                            <w:bCs/>
                            <w:color w:val="000000"/>
                            <w:sz w:val="20"/>
                            <w:szCs w:val="20"/>
                          </w:rPr>
                        </w:pPr>
                        <w:r>
                          <w:rPr>
                            <w:rFonts w:cs="Arial" w:ascii="Arial" w:hAnsi="Arial"/>
                            <w:b/>
                            <w:bCs/>
                            <w:color w:val="000000"/>
                            <w:sz w:val="20"/>
                            <w:szCs w:val="20"/>
                          </w:rPr>
                          <w:t>Utilisation de l'énergie finale par secteur</w:t>
                        </w:r>
                      </w:p>
                    </w:txbxContent>
                  </v:textbox>
                </v:rect>
              </w:pict>
            </w:r>
          </w:p>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2380"/>
            </w:tblGrid>
            <w:tr>
              <w:trPr>
                <w:trHeight w:val="300" w:hRule="atLeast"/>
                <w:cantSplit w:val="false"/>
              </w:trPr>
              <w:tc>
                <w:tcPr>
                  <w:tcW w:w="2380"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bl>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321"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23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69"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17"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96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321"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23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69"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17"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96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321"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23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69"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17"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96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321"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23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69"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17"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96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321"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23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69"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17"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96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Arial" w:ascii="Arial" w:hAnsi="Arial"/>
                <w:color w:val="000000"/>
                <w:sz w:val="18"/>
                <w:szCs w:val="18"/>
                <w:lang w:eastAsia="fr-FR"/>
              </w:rPr>
            </w:pPr>
            <w:r>
              <w:rPr>
                <w:rFonts w:eastAsia="Times New Roman" w:cs="Arial" w:ascii="Arial" w:hAnsi="Arial"/>
                <w:color w:val="000000"/>
                <w:sz w:val="18"/>
                <w:szCs w:val="18"/>
                <w:lang w:eastAsia="fr-FR"/>
              </w:rPr>
            </w:r>
          </w:p>
        </w:tc>
        <w:tc>
          <w:tcPr>
            <w:tcW w:w="1321"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23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69"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17"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96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Arial" w:ascii="Arial" w:hAnsi="Arial"/>
                <w:color w:val="000000"/>
                <w:sz w:val="18"/>
                <w:szCs w:val="18"/>
                <w:lang w:eastAsia="fr-FR"/>
              </w:rPr>
            </w:pPr>
            <w:r>
              <w:rPr>
                <w:rFonts w:eastAsia="Times New Roman" w:cs="Arial" w:ascii="Arial" w:hAnsi="Arial"/>
                <w:color w:val="000000"/>
                <w:sz w:val="18"/>
                <w:szCs w:val="18"/>
                <w:lang w:eastAsia="fr-FR"/>
              </w:rPr>
            </w:r>
          </w:p>
        </w:tc>
        <w:tc>
          <w:tcPr>
            <w:tcW w:w="1321"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23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69"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17"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96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321"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23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69"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17"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96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321"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23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69"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17"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96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321"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23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69"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17"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96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321"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23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69"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17"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96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321"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23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69"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17"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96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321"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23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69"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17"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961"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321"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23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2"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415" w:type="dxa"/>
            <w:gridSpan w:val="2"/>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1069"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17"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7220" w:type="dxa"/>
            <w:gridSpan w:val="9"/>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Arial" w:ascii="Arial" w:hAnsi="Arial"/>
                <w:i/>
                <w:iCs/>
                <w:color w:val="000000"/>
                <w:lang w:eastAsia="fr-FR"/>
              </w:rPr>
            </w:pPr>
            <w:r>
              <w:rPr>
                <w:rFonts w:eastAsia="Times New Roman" w:cs="Arial" w:ascii="Arial" w:hAnsi="Arial"/>
                <w:i/>
                <w:iCs/>
                <w:color w:val="000000"/>
                <w:lang w:eastAsia="fr-FR"/>
              </w:rPr>
              <w:t>Source : CGDD - Repères - Chiffres clés de l'énergie</w:t>
            </w:r>
          </w:p>
        </w:tc>
        <w:tc>
          <w:tcPr>
            <w:tcW w:w="1069"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15"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bl>
    <w:p>
      <w:pPr>
        <w:pStyle w:val="Normal"/>
        <w:rPr/>
      </w:pPr>
      <w:r>
        <w:rPr/>
      </w:r>
    </w:p>
    <w:p>
      <w:pPr>
        <w:pStyle w:val="Normal"/>
        <w:rPr/>
      </w:pPr>
      <w:r>
        <w:rPr/>
      </w:r>
    </w:p>
    <w:tbl>
      <w:tblPr>
        <w:jc w:val="left"/>
        <w:tblInd w:w="70" w:type="dxa"/>
        <w:tblBorders>
          <w:top w:val="nil"/>
          <w:left w:val="nil"/>
          <w:bottom w:val="nil"/>
          <w:insideH w:val="nil"/>
          <w:right w:val="nil"/>
          <w:insideV w:val="nil"/>
        </w:tblBorders>
        <w:tblCellMar>
          <w:top w:w="0" w:type="dxa"/>
          <w:left w:w="70" w:type="dxa"/>
          <w:bottom w:w="0" w:type="dxa"/>
          <w:right w:w="70" w:type="dxa"/>
        </w:tblCellMar>
      </w:tblPr>
      <w:tblGrid>
        <w:gridCol w:w="2267"/>
        <w:gridCol w:w="2976"/>
        <w:gridCol w:w="1"/>
        <w:gridCol w:w="1416"/>
        <w:gridCol w:w="1"/>
        <w:gridCol w:w="1133"/>
        <w:gridCol w:w="1"/>
        <w:gridCol w:w="1"/>
        <w:gridCol w:w="1911"/>
      </w:tblGrid>
      <w:tr>
        <w:trPr>
          <w:trHeight w:val="450" w:hRule="atLeast"/>
          <w:cantSplit w:val="false"/>
        </w:trPr>
        <w:tc>
          <w:tcPr>
            <w:tcW w:w="7796" w:type="dxa"/>
            <w:gridSpan w:val="8"/>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ascii="Arial Black" w:hAnsi="Arial Black"/>
                <w:b/>
                <w:bCs/>
                <w:color w:val="000000"/>
                <w:sz w:val="28"/>
                <w:szCs w:val="28"/>
                <w:lang w:eastAsia="fr-FR"/>
              </w:rPr>
            </w:pPr>
            <w:r>
              <w:rPr>
                <w:rFonts w:eastAsia="Times New Roman" w:cs="Times New Roman" w:ascii="Arial Black" w:hAnsi="Arial Black"/>
                <w:b/>
                <w:bCs/>
                <w:color w:val="000000"/>
                <w:sz w:val="28"/>
                <w:szCs w:val="28"/>
                <w:lang w:eastAsia="fr-FR"/>
              </w:rPr>
              <w:t>Tableau 4 : France 2015 - Electricité</w:t>
            </w:r>
          </w:p>
        </w:tc>
        <w:tc>
          <w:tcPr>
            <w:tcW w:w="1911"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15" w:hRule="atLeast"/>
          <w:cantSplit w:val="false"/>
        </w:trPr>
        <w:tc>
          <w:tcPr>
            <w:tcW w:w="226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Arial" w:ascii="Arial" w:hAnsi="Arial"/>
                <w:b/>
                <w:bCs/>
                <w:color w:val="000000"/>
                <w:lang w:eastAsia="fr-FR"/>
              </w:rPr>
            </w:pPr>
            <w:r>
              <w:rPr>
                <w:rFonts w:eastAsia="Times New Roman" w:cs="Arial" w:ascii="Arial" w:hAnsi="Arial"/>
                <w:b/>
                <w:bCs/>
                <w:color w:val="000000"/>
                <w:lang w:eastAsia="fr-FR"/>
              </w:rPr>
              <w:t>Puissance installée  MW et production annuelle TWh</w:t>
            </w:r>
          </w:p>
        </w:tc>
        <w:tc>
          <w:tcPr>
            <w:tcW w:w="141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34"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91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67" w:type="dxa"/>
            <w:tcBorders>
              <w:top w:val="single" w:sz="8" w:space="0" w:color="00000A"/>
              <w:left w:val="single" w:sz="8" w:space="0" w:color="00000A"/>
              <w:bottom w:val="nil"/>
              <w:insideH w:val="nil"/>
              <w:right w:val="single" w:sz="8" w:space="0" w:color="00000A"/>
              <w:insideV w:val="single" w:sz="8" w:space="0" w:color="00000A"/>
            </w:tcBorders>
            <w:shd w:fill="FFFFFF" w:val="clear"/>
            <w:tcMar>
              <w:left w:w="60" w:type="dxa"/>
            </w:tcM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t>Sources d'énergie</w:t>
            </w:r>
          </w:p>
        </w:tc>
        <w:tc>
          <w:tcPr>
            <w:tcW w:w="2976" w:type="dxa"/>
            <w:tcBorders>
              <w:top w:val="single" w:sz="8" w:space="0" w:color="00000A"/>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Puissance installée</w:t>
            </w:r>
          </w:p>
        </w:tc>
        <w:tc>
          <w:tcPr>
            <w:tcW w:w="1417" w:type="dxa"/>
            <w:gridSpan w:val="2"/>
            <w:tcBorders>
              <w:top w:val="single" w:sz="8" w:space="0" w:color="00000A"/>
              <w:left w:val="nil"/>
              <w:bottom w:val="nil"/>
              <w:insideH w:val="nil"/>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 </w:t>
            </w:r>
          </w:p>
        </w:tc>
        <w:tc>
          <w:tcPr>
            <w:tcW w:w="3047" w:type="dxa"/>
            <w:gridSpan w:val="5"/>
            <w:tcBorders>
              <w:top w:val="single" w:sz="8" w:space="0" w:color="00000A"/>
              <w:left w:val="nil"/>
              <w:bottom w:val="nil"/>
              <w:insideH w:val="nil"/>
              <w:right w:val="single" w:sz="8" w:space="0" w:color="000001"/>
              <w:insideV w:val="single" w:sz="8" w:space="0" w:color="000001"/>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t>Production d'électricité</w:t>
            </w:r>
          </w:p>
        </w:tc>
      </w:tr>
      <w:tr>
        <w:trPr>
          <w:trHeight w:val="315" w:hRule="atLeast"/>
          <w:cantSplit w:val="false"/>
        </w:trPr>
        <w:tc>
          <w:tcPr>
            <w:tcW w:w="2267" w:type="dxa"/>
            <w:tcBorders>
              <w:top w:val="nil"/>
              <w:left w:val="single" w:sz="8" w:space="0" w:color="00000A"/>
              <w:bottom w:val="single" w:sz="8" w:space="0" w:color="00000A"/>
              <w:insideH w:val="single" w:sz="8" w:space="0" w:color="00000A"/>
              <w:right w:val="single" w:sz="8" w:space="0" w:color="00000A"/>
              <w:insideV w:val="single" w:sz="8" w:space="0" w:color="00000A"/>
            </w:tcBorders>
            <w:shd w:fill="FFFFFF" w:val="clear"/>
            <w:tcMar>
              <w:left w:w="60" w:type="dxa"/>
            </w:tcM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t> </w:t>
            </w:r>
          </w:p>
        </w:tc>
        <w:tc>
          <w:tcPr>
            <w:tcW w:w="2976" w:type="dxa"/>
            <w:tcBorders>
              <w:top w:val="nil"/>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MW</w:t>
            </w:r>
          </w:p>
        </w:tc>
        <w:tc>
          <w:tcPr>
            <w:tcW w:w="1417" w:type="dxa"/>
            <w:gridSpan w:val="2"/>
            <w:tcBorders>
              <w:top w:val="nil"/>
              <w:left w:val="nil"/>
              <w:bottom w:val="single" w:sz="8" w:space="0" w:color="00000A"/>
              <w:insideH w:val="single" w:sz="8"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w:t>
            </w:r>
          </w:p>
        </w:tc>
        <w:tc>
          <w:tcPr>
            <w:tcW w:w="1134" w:type="dxa"/>
            <w:gridSpan w:val="2"/>
            <w:tcBorders>
              <w:top w:val="nil"/>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TWh</w:t>
            </w:r>
          </w:p>
        </w:tc>
        <w:tc>
          <w:tcPr>
            <w:tcW w:w="1913" w:type="dxa"/>
            <w:gridSpan w:val="3"/>
            <w:tcBorders>
              <w:top w:val="nil"/>
              <w:left w:val="nil"/>
              <w:bottom w:val="single" w:sz="8" w:space="0" w:color="00000A"/>
              <w:insideH w:val="single" w:sz="8" w:space="0" w:color="00000A"/>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w:t>
            </w:r>
          </w:p>
        </w:tc>
      </w:tr>
      <w:tr>
        <w:trPr>
          <w:trHeight w:val="300" w:hRule="atLeast"/>
          <w:cantSplit w:val="false"/>
        </w:trPr>
        <w:tc>
          <w:tcPr>
            <w:tcW w:w="2267" w:type="dxa"/>
            <w:tcBorders>
              <w:top w:val="nil"/>
              <w:left w:val="single" w:sz="8" w:space="0" w:color="00000A"/>
              <w:bottom w:val="nil"/>
              <w:insideH w:val="nil"/>
              <w:right w:val="single" w:sz="8" w:space="0" w:color="00000A"/>
              <w:insideV w:val="single" w:sz="8" w:space="0" w:color="00000A"/>
            </w:tcBorders>
            <w:shd w:fill="FFFFFF" w:val="clear"/>
            <w:tcMar>
              <w:left w:w="60" w:type="dxa"/>
            </w:tcM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t>Nucléaire</w:t>
            </w:r>
          </w:p>
        </w:tc>
        <w:tc>
          <w:tcPr>
            <w:tcW w:w="2976" w:type="dxa"/>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63 130</w:t>
            </w:r>
          </w:p>
        </w:tc>
        <w:tc>
          <w:tcPr>
            <w:tcW w:w="1417" w:type="dxa"/>
            <w:gridSpan w:val="2"/>
            <w:tcBorders>
              <w:top w:val="nil"/>
              <w:left w:val="nil"/>
              <w:bottom w:val="nil"/>
              <w:insideH w:val="nil"/>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48,8%</w:t>
            </w:r>
          </w:p>
        </w:tc>
        <w:tc>
          <w:tcPr>
            <w:tcW w:w="1134" w:type="dxa"/>
            <w:gridSpan w:val="2"/>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416,8</w:t>
            </w:r>
          </w:p>
        </w:tc>
        <w:tc>
          <w:tcPr>
            <w:tcW w:w="1913" w:type="dxa"/>
            <w:gridSpan w:val="3"/>
            <w:tcBorders>
              <w:top w:val="nil"/>
              <w:left w:val="nil"/>
              <w:bottom w:val="nil"/>
              <w:insideH w:val="nil"/>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76,3%</w:t>
            </w:r>
          </w:p>
        </w:tc>
      </w:tr>
      <w:tr>
        <w:trPr>
          <w:trHeight w:val="300" w:hRule="atLeast"/>
          <w:cantSplit w:val="false"/>
        </w:trPr>
        <w:tc>
          <w:tcPr>
            <w:tcW w:w="2267" w:type="dxa"/>
            <w:tcBorders>
              <w:top w:val="nil"/>
              <w:left w:val="single" w:sz="8" w:space="0" w:color="00000A"/>
              <w:bottom w:val="nil"/>
              <w:insideH w:val="nil"/>
              <w:right w:val="single" w:sz="8" w:space="0" w:color="00000A"/>
              <w:insideV w:val="single" w:sz="8" w:space="0" w:color="00000A"/>
            </w:tcBorders>
            <w:shd w:fill="FFFFFF" w:val="clear"/>
            <w:tcMar>
              <w:left w:w="60" w:type="dxa"/>
            </w:tcM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t>Hydraulique</w:t>
            </w:r>
          </w:p>
        </w:tc>
        <w:tc>
          <w:tcPr>
            <w:tcW w:w="2976" w:type="dxa"/>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25 421</w:t>
            </w:r>
          </w:p>
        </w:tc>
        <w:tc>
          <w:tcPr>
            <w:tcW w:w="1417" w:type="dxa"/>
            <w:gridSpan w:val="2"/>
            <w:tcBorders>
              <w:top w:val="nil"/>
              <w:left w:val="nil"/>
              <w:bottom w:val="nil"/>
              <w:insideH w:val="nil"/>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19,7%</w:t>
            </w:r>
          </w:p>
        </w:tc>
        <w:tc>
          <w:tcPr>
            <w:tcW w:w="1134" w:type="dxa"/>
            <w:gridSpan w:val="2"/>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58,7</w:t>
            </w:r>
          </w:p>
        </w:tc>
        <w:tc>
          <w:tcPr>
            <w:tcW w:w="1913" w:type="dxa"/>
            <w:gridSpan w:val="3"/>
            <w:tcBorders>
              <w:top w:val="nil"/>
              <w:left w:val="nil"/>
              <w:bottom w:val="nil"/>
              <w:insideH w:val="nil"/>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10,8%</w:t>
            </w:r>
          </w:p>
        </w:tc>
      </w:tr>
      <w:tr>
        <w:trPr>
          <w:trHeight w:val="300" w:hRule="atLeast"/>
          <w:cantSplit w:val="false"/>
        </w:trPr>
        <w:tc>
          <w:tcPr>
            <w:tcW w:w="2267" w:type="dxa"/>
            <w:tcBorders>
              <w:top w:val="nil"/>
              <w:left w:val="single" w:sz="8" w:space="0" w:color="00000A"/>
              <w:bottom w:val="nil"/>
              <w:insideH w:val="nil"/>
              <w:right w:val="single" w:sz="8" w:space="0" w:color="00000A"/>
              <w:insideV w:val="single" w:sz="8" w:space="0" w:color="00000A"/>
            </w:tcBorders>
            <w:shd w:fill="FFFFFF" w:val="clear"/>
            <w:tcMar>
              <w:left w:w="60" w:type="dxa"/>
            </w:tcM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t>Fossiles</w:t>
            </w:r>
          </w:p>
        </w:tc>
        <w:tc>
          <w:tcPr>
            <w:tcW w:w="2976" w:type="dxa"/>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22 553</w:t>
            </w:r>
          </w:p>
        </w:tc>
        <w:tc>
          <w:tcPr>
            <w:tcW w:w="1417" w:type="dxa"/>
            <w:gridSpan w:val="2"/>
            <w:tcBorders>
              <w:top w:val="nil"/>
              <w:left w:val="nil"/>
              <w:bottom w:val="nil"/>
              <w:insideH w:val="nil"/>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17,4%</w:t>
            </w:r>
          </w:p>
        </w:tc>
        <w:tc>
          <w:tcPr>
            <w:tcW w:w="1134" w:type="dxa"/>
            <w:gridSpan w:val="2"/>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34,1</w:t>
            </w:r>
          </w:p>
        </w:tc>
        <w:tc>
          <w:tcPr>
            <w:tcW w:w="1913" w:type="dxa"/>
            <w:gridSpan w:val="3"/>
            <w:tcBorders>
              <w:top w:val="nil"/>
              <w:left w:val="nil"/>
              <w:bottom w:val="nil"/>
              <w:insideH w:val="nil"/>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6,2%</w:t>
            </w:r>
          </w:p>
        </w:tc>
      </w:tr>
      <w:tr>
        <w:trPr>
          <w:trHeight w:val="300" w:hRule="atLeast"/>
          <w:cantSplit w:val="false"/>
        </w:trPr>
        <w:tc>
          <w:tcPr>
            <w:tcW w:w="2267" w:type="dxa"/>
            <w:tcBorders>
              <w:top w:val="nil"/>
              <w:left w:val="single" w:sz="8" w:space="0" w:color="00000A"/>
              <w:bottom w:val="nil"/>
              <w:insideH w:val="nil"/>
              <w:right w:val="single" w:sz="8" w:space="0" w:color="00000A"/>
              <w:insideV w:val="single" w:sz="8" w:space="0" w:color="00000A"/>
            </w:tcBorders>
            <w:shd w:fill="FFFFFF" w:val="clear"/>
            <w:tcMar>
              <w:left w:w="60" w:type="dxa"/>
            </w:tcMar>
            <w:vAlign w:val="bottom"/>
          </w:tcPr>
          <w:p>
            <w:pPr>
              <w:pStyle w:val="Normal"/>
              <w:spacing w:lineRule="auto" w:line="240" w:before="0" w:after="0"/>
              <w:jc w:val="right"/>
              <w:rPr>
                <w:rFonts w:eastAsia="Times New Roman" w:cs="Times New Roman"/>
                <w:color w:val="00B0F0"/>
                <w:lang w:eastAsia="fr-FR"/>
              </w:rPr>
            </w:pPr>
            <w:r>
              <w:rPr>
                <w:rFonts w:eastAsia="Times New Roman" w:cs="Times New Roman"/>
                <w:color w:val="00B0F0"/>
                <w:lang w:eastAsia="fr-FR"/>
              </w:rPr>
              <w:t>Gaz</w:t>
            </w:r>
          </w:p>
        </w:tc>
        <w:tc>
          <w:tcPr>
            <w:tcW w:w="2976" w:type="dxa"/>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B0F0"/>
                <w:lang w:eastAsia="fr-FR"/>
              </w:rPr>
            </w:pPr>
            <w:r>
              <w:rPr>
                <w:rFonts w:eastAsia="Times New Roman" w:cs="Times New Roman"/>
                <w:color w:val="00B0F0"/>
                <w:lang w:eastAsia="fr-FR"/>
              </w:rPr>
              <w:t>10 901</w:t>
            </w:r>
          </w:p>
        </w:tc>
        <w:tc>
          <w:tcPr>
            <w:tcW w:w="1417" w:type="dxa"/>
            <w:gridSpan w:val="2"/>
            <w:tcBorders>
              <w:top w:val="nil"/>
              <w:left w:val="nil"/>
              <w:bottom w:val="nil"/>
              <w:insideH w:val="nil"/>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B0F0"/>
                <w:lang w:eastAsia="fr-FR"/>
              </w:rPr>
            </w:pPr>
            <w:r>
              <w:rPr>
                <w:rFonts w:eastAsia="Times New Roman" w:cs="Times New Roman"/>
                <w:color w:val="00B0F0"/>
                <w:lang w:eastAsia="fr-FR"/>
              </w:rPr>
              <w:t>8,4%</w:t>
            </w:r>
          </w:p>
        </w:tc>
        <w:tc>
          <w:tcPr>
            <w:tcW w:w="1134" w:type="dxa"/>
            <w:gridSpan w:val="2"/>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B0F0"/>
                <w:lang w:eastAsia="fr-FR"/>
              </w:rPr>
            </w:pPr>
            <w:r>
              <w:rPr>
                <w:rFonts w:eastAsia="Times New Roman" w:cs="Times New Roman"/>
                <w:color w:val="00B0F0"/>
                <w:lang w:eastAsia="fr-FR"/>
              </w:rPr>
              <w:t>22,1</w:t>
            </w:r>
          </w:p>
        </w:tc>
        <w:tc>
          <w:tcPr>
            <w:tcW w:w="1913" w:type="dxa"/>
            <w:gridSpan w:val="3"/>
            <w:tcBorders>
              <w:top w:val="nil"/>
              <w:left w:val="nil"/>
              <w:bottom w:val="nil"/>
              <w:insideH w:val="nil"/>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B0F0"/>
                <w:lang w:eastAsia="fr-FR"/>
              </w:rPr>
            </w:pPr>
            <w:r>
              <w:rPr>
                <w:rFonts w:eastAsia="Times New Roman" w:cs="Times New Roman"/>
                <w:color w:val="00B0F0"/>
                <w:lang w:eastAsia="fr-FR"/>
              </w:rPr>
              <w:t>4,0%</w:t>
            </w:r>
          </w:p>
        </w:tc>
      </w:tr>
      <w:tr>
        <w:trPr>
          <w:trHeight w:val="300" w:hRule="atLeast"/>
          <w:cantSplit w:val="false"/>
        </w:trPr>
        <w:tc>
          <w:tcPr>
            <w:tcW w:w="2267" w:type="dxa"/>
            <w:tcBorders>
              <w:top w:val="nil"/>
              <w:left w:val="single" w:sz="8" w:space="0" w:color="00000A"/>
              <w:bottom w:val="nil"/>
              <w:insideH w:val="nil"/>
              <w:right w:val="single" w:sz="8" w:space="0" w:color="00000A"/>
              <w:insideV w:val="single" w:sz="8" w:space="0" w:color="00000A"/>
            </w:tcBorders>
            <w:shd w:fill="FFFFFF" w:val="clear"/>
            <w:tcMar>
              <w:left w:w="60" w:type="dxa"/>
            </w:tcMar>
            <w:vAlign w:val="bottom"/>
          </w:tcPr>
          <w:p>
            <w:pPr>
              <w:pStyle w:val="Normal"/>
              <w:spacing w:lineRule="auto" w:line="240" w:before="0" w:after="0"/>
              <w:jc w:val="right"/>
              <w:rPr>
                <w:rFonts w:eastAsia="Times New Roman" w:cs="Times New Roman"/>
                <w:color w:val="00B0F0"/>
                <w:lang w:eastAsia="fr-FR"/>
              </w:rPr>
            </w:pPr>
            <w:r>
              <w:rPr>
                <w:rFonts w:eastAsia="Times New Roman" w:cs="Times New Roman"/>
                <w:color w:val="00B0F0"/>
                <w:lang w:eastAsia="fr-FR"/>
              </w:rPr>
              <w:t>Charbon</w:t>
            </w:r>
          </w:p>
        </w:tc>
        <w:tc>
          <w:tcPr>
            <w:tcW w:w="2976" w:type="dxa"/>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B0F0"/>
                <w:lang w:eastAsia="fr-FR"/>
              </w:rPr>
            </w:pPr>
            <w:r>
              <w:rPr>
                <w:rFonts w:eastAsia="Times New Roman" w:cs="Times New Roman"/>
                <w:color w:val="00B0F0"/>
                <w:lang w:eastAsia="fr-FR"/>
              </w:rPr>
              <w:t>3 007</w:t>
            </w:r>
          </w:p>
        </w:tc>
        <w:tc>
          <w:tcPr>
            <w:tcW w:w="1417" w:type="dxa"/>
            <w:gridSpan w:val="2"/>
            <w:tcBorders>
              <w:top w:val="nil"/>
              <w:left w:val="nil"/>
              <w:bottom w:val="nil"/>
              <w:insideH w:val="nil"/>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B0F0"/>
                <w:lang w:eastAsia="fr-FR"/>
              </w:rPr>
            </w:pPr>
            <w:r>
              <w:rPr>
                <w:rFonts w:eastAsia="Times New Roman" w:cs="Times New Roman"/>
                <w:color w:val="00B0F0"/>
                <w:lang w:eastAsia="fr-FR"/>
              </w:rPr>
              <w:t>2,3%</w:t>
            </w:r>
          </w:p>
        </w:tc>
        <w:tc>
          <w:tcPr>
            <w:tcW w:w="1134" w:type="dxa"/>
            <w:gridSpan w:val="2"/>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B0F0"/>
                <w:lang w:eastAsia="fr-FR"/>
              </w:rPr>
            </w:pPr>
            <w:r>
              <w:rPr>
                <w:rFonts w:eastAsia="Times New Roman" w:cs="Times New Roman"/>
                <w:color w:val="00B0F0"/>
                <w:lang w:eastAsia="fr-FR"/>
              </w:rPr>
              <w:t>8,6</w:t>
            </w:r>
          </w:p>
        </w:tc>
        <w:tc>
          <w:tcPr>
            <w:tcW w:w="1913" w:type="dxa"/>
            <w:gridSpan w:val="3"/>
            <w:tcBorders>
              <w:top w:val="nil"/>
              <w:left w:val="nil"/>
              <w:bottom w:val="nil"/>
              <w:insideH w:val="nil"/>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B0F0"/>
                <w:lang w:eastAsia="fr-FR"/>
              </w:rPr>
            </w:pPr>
            <w:r>
              <w:rPr>
                <w:rFonts w:eastAsia="Times New Roman" w:cs="Times New Roman"/>
                <w:color w:val="00B0F0"/>
                <w:lang w:eastAsia="fr-FR"/>
              </w:rPr>
              <w:t>1,6%</w:t>
            </w:r>
          </w:p>
        </w:tc>
      </w:tr>
      <w:tr>
        <w:trPr>
          <w:trHeight w:val="300" w:hRule="atLeast"/>
          <w:cantSplit w:val="false"/>
        </w:trPr>
        <w:tc>
          <w:tcPr>
            <w:tcW w:w="2267" w:type="dxa"/>
            <w:tcBorders>
              <w:top w:val="nil"/>
              <w:left w:val="single" w:sz="8" w:space="0" w:color="00000A"/>
              <w:bottom w:val="nil"/>
              <w:insideH w:val="nil"/>
              <w:right w:val="single" w:sz="8" w:space="0" w:color="00000A"/>
              <w:insideV w:val="single" w:sz="8" w:space="0" w:color="00000A"/>
            </w:tcBorders>
            <w:shd w:fill="FFFFFF" w:val="clear"/>
            <w:tcMar>
              <w:left w:w="60" w:type="dxa"/>
            </w:tcMar>
            <w:vAlign w:val="bottom"/>
          </w:tcPr>
          <w:p>
            <w:pPr>
              <w:pStyle w:val="Normal"/>
              <w:spacing w:lineRule="auto" w:line="240" w:before="0" w:after="0"/>
              <w:jc w:val="right"/>
              <w:rPr>
                <w:rFonts w:eastAsia="Times New Roman" w:cs="Times New Roman"/>
                <w:color w:val="00B0F0"/>
                <w:lang w:eastAsia="fr-FR"/>
              </w:rPr>
            </w:pPr>
            <w:r>
              <w:rPr>
                <w:rFonts w:eastAsia="Times New Roman" w:cs="Times New Roman"/>
                <w:color w:val="00B0F0"/>
                <w:lang w:eastAsia="fr-FR"/>
              </w:rPr>
              <w:t>Pétrole</w:t>
            </w:r>
          </w:p>
        </w:tc>
        <w:tc>
          <w:tcPr>
            <w:tcW w:w="2976" w:type="dxa"/>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B0F0"/>
                <w:lang w:eastAsia="fr-FR"/>
              </w:rPr>
            </w:pPr>
            <w:r>
              <w:rPr>
                <w:rFonts w:eastAsia="Times New Roman" w:cs="Times New Roman"/>
                <w:color w:val="00B0F0"/>
                <w:lang w:eastAsia="fr-FR"/>
              </w:rPr>
              <w:t>8 645</w:t>
            </w:r>
          </w:p>
        </w:tc>
        <w:tc>
          <w:tcPr>
            <w:tcW w:w="1417" w:type="dxa"/>
            <w:gridSpan w:val="2"/>
            <w:tcBorders>
              <w:top w:val="nil"/>
              <w:left w:val="nil"/>
              <w:bottom w:val="nil"/>
              <w:insideH w:val="nil"/>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B0F0"/>
                <w:lang w:eastAsia="fr-FR"/>
              </w:rPr>
            </w:pPr>
            <w:r>
              <w:rPr>
                <w:rFonts w:eastAsia="Times New Roman" w:cs="Times New Roman"/>
                <w:color w:val="00B0F0"/>
                <w:lang w:eastAsia="fr-FR"/>
              </w:rPr>
              <w:t>6,7%</w:t>
            </w:r>
          </w:p>
        </w:tc>
        <w:tc>
          <w:tcPr>
            <w:tcW w:w="1134" w:type="dxa"/>
            <w:gridSpan w:val="2"/>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B0F0"/>
                <w:lang w:eastAsia="fr-FR"/>
              </w:rPr>
            </w:pPr>
            <w:r>
              <w:rPr>
                <w:rFonts w:eastAsia="Times New Roman" w:cs="Times New Roman"/>
                <w:color w:val="00B0F0"/>
                <w:lang w:eastAsia="fr-FR"/>
              </w:rPr>
              <w:t>3,4</w:t>
            </w:r>
          </w:p>
        </w:tc>
        <w:tc>
          <w:tcPr>
            <w:tcW w:w="1913" w:type="dxa"/>
            <w:gridSpan w:val="3"/>
            <w:tcBorders>
              <w:top w:val="nil"/>
              <w:left w:val="nil"/>
              <w:bottom w:val="nil"/>
              <w:insideH w:val="nil"/>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B0F0"/>
                <w:lang w:eastAsia="fr-FR"/>
              </w:rPr>
            </w:pPr>
            <w:r>
              <w:rPr>
                <w:rFonts w:eastAsia="Times New Roman" w:cs="Times New Roman"/>
                <w:color w:val="00B0F0"/>
                <w:lang w:eastAsia="fr-FR"/>
              </w:rPr>
              <w:t>0,6%</w:t>
            </w:r>
          </w:p>
        </w:tc>
      </w:tr>
      <w:tr>
        <w:trPr>
          <w:trHeight w:val="300" w:hRule="atLeast"/>
          <w:cantSplit w:val="false"/>
        </w:trPr>
        <w:tc>
          <w:tcPr>
            <w:tcW w:w="2267" w:type="dxa"/>
            <w:tcBorders>
              <w:top w:val="nil"/>
              <w:left w:val="single" w:sz="8" w:space="0" w:color="00000A"/>
              <w:bottom w:val="nil"/>
              <w:insideH w:val="nil"/>
              <w:right w:val="single" w:sz="8" w:space="0" w:color="00000A"/>
              <w:insideV w:val="single" w:sz="8" w:space="0" w:color="00000A"/>
            </w:tcBorders>
            <w:shd w:fill="FFFFFF" w:val="clear"/>
            <w:tcMar>
              <w:left w:w="60" w:type="dxa"/>
            </w:tcM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t>Eolien</w:t>
            </w:r>
          </w:p>
        </w:tc>
        <w:tc>
          <w:tcPr>
            <w:tcW w:w="2976" w:type="dxa"/>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10 312</w:t>
            </w:r>
          </w:p>
        </w:tc>
        <w:tc>
          <w:tcPr>
            <w:tcW w:w="1417" w:type="dxa"/>
            <w:gridSpan w:val="2"/>
            <w:tcBorders>
              <w:top w:val="nil"/>
              <w:left w:val="nil"/>
              <w:bottom w:val="nil"/>
              <w:insideH w:val="nil"/>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8,0%</w:t>
            </w:r>
          </w:p>
        </w:tc>
        <w:tc>
          <w:tcPr>
            <w:tcW w:w="1134" w:type="dxa"/>
            <w:gridSpan w:val="2"/>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21,1</w:t>
            </w:r>
          </w:p>
        </w:tc>
        <w:tc>
          <w:tcPr>
            <w:tcW w:w="1913" w:type="dxa"/>
            <w:gridSpan w:val="3"/>
            <w:tcBorders>
              <w:top w:val="nil"/>
              <w:left w:val="nil"/>
              <w:bottom w:val="nil"/>
              <w:insideH w:val="nil"/>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3,9%</w:t>
            </w:r>
          </w:p>
        </w:tc>
      </w:tr>
      <w:tr>
        <w:trPr>
          <w:trHeight w:val="300" w:hRule="atLeast"/>
          <w:cantSplit w:val="false"/>
        </w:trPr>
        <w:tc>
          <w:tcPr>
            <w:tcW w:w="2267" w:type="dxa"/>
            <w:tcBorders>
              <w:top w:val="nil"/>
              <w:left w:val="single" w:sz="8" w:space="0" w:color="00000A"/>
              <w:bottom w:val="nil"/>
              <w:insideH w:val="nil"/>
              <w:right w:val="single" w:sz="8" w:space="0" w:color="00000A"/>
              <w:insideV w:val="single" w:sz="8" w:space="0" w:color="00000A"/>
            </w:tcBorders>
            <w:shd w:fill="FFFFFF" w:val="clear"/>
            <w:tcMar>
              <w:left w:w="60" w:type="dxa"/>
            </w:tcM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t>Photovoltaïque</w:t>
            </w:r>
          </w:p>
        </w:tc>
        <w:tc>
          <w:tcPr>
            <w:tcW w:w="2976" w:type="dxa"/>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6 191</w:t>
            </w:r>
          </w:p>
        </w:tc>
        <w:tc>
          <w:tcPr>
            <w:tcW w:w="1417" w:type="dxa"/>
            <w:gridSpan w:val="2"/>
            <w:tcBorders>
              <w:top w:val="nil"/>
              <w:left w:val="nil"/>
              <w:bottom w:val="nil"/>
              <w:insideH w:val="nil"/>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4,8%</w:t>
            </w:r>
          </w:p>
        </w:tc>
        <w:tc>
          <w:tcPr>
            <w:tcW w:w="1134" w:type="dxa"/>
            <w:gridSpan w:val="2"/>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7,4</w:t>
            </w:r>
          </w:p>
        </w:tc>
        <w:tc>
          <w:tcPr>
            <w:tcW w:w="1913" w:type="dxa"/>
            <w:gridSpan w:val="3"/>
            <w:tcBorders>
              <w:top w:val="nil"/>
              <w:left w:val="nil"/>
              <w:bottom w:val="nil"/>
              <w:insideH w:val="nil"/>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1,4%</w:t>
            </w:r>
          </w:p>
        </w:tc>
      </w:tr>
      <w:tr>
        <w:trPr>
          <w:trHeight w:val="300" w:hRule="atLeast"/>
          <w:cantSplit w:val="false"/>
        </w:trPr>
        <w:tc>
          <w:tcPr>
            <w:tcW w:w="2267" w:type="dxa"/>
            <w:tcBorders>
              <w:top w:val="nil"/>
              <w:left w:val="single" w:sz="8" w:space="0" w:color="00000A"/>
              <w:bottom w:val="nil"/>
              <w:insideH w:val="nil"/>
              <w:right w:val="single" w:sz="8" w:space="0" w:color="00000A"/>
              <w:insideV w:val="single" w:sz="8" w:space="0" w:color="00000A"/>
            </w:tcBorders>
            <w:shd w:fill="FFFFFF" w:val="clear"/>
            <w:tcMar>
              <w:left w:w="60" w:type="dxa"/>
            </w:tcM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t>Thermique ENR</w:t>
            </w:r>
          </w:p>
        </w:tc>
        <w:tc>
          <w:tcPr>
            <w:tcW w:w="2976" w:type="dxa"/>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1 703</w:t>
            </w:r>
          </w:p>
        </w:tc>
        <w:tc>
          <w:tcPr>
            <w:tcW w:w="1417" w:type="dxa"/>
            <w:gridSpan w:val="2"/>
            <w:tcBorders>
              <w:top w:val="nil"/>
              <w:left w:val="nil"/>
              <w:bottom w:val="nil"/>
              <w:insideH w:val="nil"/>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1,3%</w:t>
            </w:r>
          </w:p>
        </w:tc>
        <w:tc>
          <w:tcPr>
            <w:tcW w:w="1134" w:type="dxa"/>
            <w:gridSpan w:val="2"/>
            <w:tcBorders>
              <w:top w:val="nil"/>
              <w:left w:val="nil"/>
              <w:bottom w:val="nil"/>
              <w:insideH w:val="nil"/>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7,9</w:t>
            </w:r>
          </w:p>
        </w:tc>
        <w:tc>
          <w:tcPr>
            <w:tcW w:w="1913" w:type="dxa"/>
            <w:gridSpan w:val="3"/>
            <w:tcBorders>
              <w:top w:val="nil"/>
              <w:left w:val="nil"/>
              <w:bottom w:val="nil"/>
              <w:insideH w:val="nil"/>
              <w:right w:val="single" w:sz="8" w:space="0" w:color="00000A"/>
              <w:insideV w:val="single" w:sz="8"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1,4%</w:t>
            </w:r>
          </w:p>
        </w:tc>
      </w:tr>
      <w:tr>
        <w:trPr>
          <w:trHeight w:val="315" w:hRule="atLeast"/>
          <w:cantSplit w:val="false"/>
        </w:trPr>
        <w:tc>
          <w:tcPr>
            <w:tcW w:w="2267" w:type="dxa"/>
            <w:tcBorders>
              <w:top w:val="nil"/>
              <w:left w:val="single" w:sz="8" w:space="0" w:color="00000A"/>
              <w:bottom w:val="single" w:sz="8" w:space="0" w:color="00000A"/>
              <w:insideH w:val="single" w:sz="8" w:space="0" w:color="00000A"/>
              <w:right w:val="single" w:sz="8" w:space="0" w:color="00000A"/>
              <w:insideV w:val="single" w:sz="8" w:space="0" w:color="00000A"/>
            </w:tcBorders>
            <w:shd w:fill="FFFFFF" w:val="clear"/>
            <w:tcMar>
              <w:left w:w="60" w:type="dxa"/>
            </w:tcM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t>Total</w:t>
            </w:r>
          </w:p>
        </w:tc>
        <w:tc>
          <w:tcPr>
            <w:tcW w:w="2976" w:type="dxa"/>
            <w:tcBorders>
              <w:top w:val="nil"/>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129 310</w:t>
            </w:r>
          </w:p>
        </w:tc>
        <w:tc>
          <w:tcPr>
            <w:tcW w:w="1417" w:type="dxa"/>
            <w:gridSpan w:val="2"/>
            <w:tcBorders>
              <w:top w:val="nil"/>
              <w:left w:val="single" w:sz="8" w:space="0" w:color="00000A"/>
              <w:bottom w:val="single" w:sz="8" w:space="0" w:color="00000A"/>
              <w:insideH w:val="single" w:sz="8"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100,0%</w:t>
            </w:r>
          </w:p>
        </w:tc>
        <w:tc>
          <w:tcPr>
            <w:tcW w:w="1134" w:type="dxa"/>
            <w:gridSpan w:val="2"/>
            <w:tcBorders>
              <w:top w:val="nil"/>
              <w:left w:val="single" w:sz="8" w:space="0" w:color="00000A"/>
              <w:bottom w:val="single" w:sz="8" w:space="0" w:color="00000A"/>
              <w:insideH w:val="single" w:sz="8"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546,0</w:t>
            </w:r>
          </w:p>
        </w:tc>
        <w:tc>
          <w:tcPr>
            <w:tcW w:w="1913" w:type="dxa"/>
            <w:gridSpan w:val="3"/>
            <w:tcBorders>
              <w:top w:val="nil"/>
              <w:left w:val="single" w:sz="8" w:space="0" w:color="00000A"/>
              <w:bottom w:val="single" w:sz="8" w:space="0" w:color="00000A"/>
              <w:insideH w:val="single" w:sz="8" w:space="0" w:color="00000A"/>
              <w:right w:val="single" w:sz="4" w:space="0" w:color="00000A"/>
              <w:insideV w:val="single" w:sz="4" w:space="0" w:color="00000A"/>
            </w:tcBorders>
            <w:shd w:fill="FFFFFF" w:val="clear"/>
            <w:tcMar>
              <w:left w:w="60" w:type="dxa"/>
            </w:tcM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t>100,0%</w:t>
            </w:r>
          </w:p>
        </w:tc>
      </w:tr>
      <w:tr>
        <w:trPr>
          <w:trHeight w:val="300" w:hRule="atLeast"/>
          <w:cantSplit w:val="false"/>
        </w:trPr>
        <w:tc>
          <w:tcPr>
            <w:tcW w:w="2267" w:type="dxa"/>
            <w:tcBorders>
              <w:top w:val="nil"/>
              <w:left w:val="nil"/>
              <w:bottom w:val="nil"/>
              <w:insideH w:val="nil"/>
              <w:right w:val="nil"/>
              <w:insideV w:val="nil"/>
            </w:tcBorders>
            <w:shd w:fill="FFFFFF" w:val="clear"/>
            <w:vAlign w:val="bottom"/>
          </w:tcPr>
          <w:p>
            <w:pPr>
              <w:pStyle w:val="Normal"/>
              <w:spacing w:lineRule="auto" w:line="240" w:before="0" w:after="0"/>
              <w:rPr/>
            </w:pPr>
            <w:r>
              <w:rPr/>
              <w:drawing>
                <wp:inline distT="0" distB="0" distL="0" distR="0">
                  <wp:extent cx="4324350" cy="2676525"/>
                  <wp:effectExtent l="0" t="0" r="0" b="0"/>
                  <wp:docPr id="1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1900"/>
            </w:tblGrid>
            <w:tr>
              <w:trPr>
                <w:trHeight w:val="300" w:hRule="atLeast"/>
                <w:cantSplit w:val="false"/>
              </w:trPr>
              <w:tc>
                <w:tcPr>
                  <w:tcW w:w="1900"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r>
          </w:tbl>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41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34"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91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6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41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34"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91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6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41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34"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91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6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41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34"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91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6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41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34"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91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6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41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34"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91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6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41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34"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91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6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41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34"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91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6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41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34"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91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6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41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34"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91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6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41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34"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91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6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41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34"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91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6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41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34"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91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67" w:type="dxa"/>
            <w:tcBorders>
              <w:top w:val="nil"/>
              <w:left w:val="nil"/>
              <w:bottom w:val="nil"/>
              <w:insideH w:val="nil"/>
              <w:right w:val="nil"/>
              <w:insideV w:val="nil"/>
            </w:tcBorders>
            <w:shd w:fill="FFFFFF" w:val="clear"/>
            <w:vAlign w:val="bottom"/>
          </w:tcPr>
          <w:p>
            <w:pPr>
              <w:pStyle w:val="Normal"/>
              <w:spacing w:lineRule="auto" w:line="240" w:before="0" w:after="0"/>
              <w:rPr/>
            </w:pPr>
            <w:r>
              <w:rPr/>
              <w:drawing>
                <wp:inline distT="0" distB="0" distL="0" distR="0">
                  <wp:extent cx="4557395" cy="2914650"/>
                  <wp:effectExtent l="0" t="0" r="0" b="0"/>
                  <wp:docPr id="1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2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41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34"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91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6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41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34"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91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6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41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34"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91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6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41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34"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91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6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41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34"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91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6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41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34"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91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6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41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34"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91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6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41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34"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91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6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41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34"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91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6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41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34"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91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6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41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34"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91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6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41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34"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91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6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41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34"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91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226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color w:val="000000"/>
                <w:lang w:eastAsia="fr-FR"/>
              </w:rPr>
            </w:pPr>
            <w:r>
              <w:rPr>
                <w:rFonts w:eastAsia="Times New Roman" w:cs="Times New Roman"/>
                <w:color w:val="000000"/>
                <w:lang w:eastAsia="fr-FR"/>
              </w:rPr>
            </w:r>
          </w:p>
        </w:tc>
        <w:tc>
          <w:tcPr>
            <w:tcW w:w="2976"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41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34"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913" w:type="dxa"/>
            <w:gridSpan w:val="3"/>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r>
        <w:trPr>
          <w:trHeight w:val="300" w:hRule="atLeast"/>
          <w:cantSplit w:val="false"/>
        </w:trPr>
        <w:tc>
          <w:tcPr>
            <w:tcW w:w="5244" w:type="dxa"/>
            <w:gridSpan w:val="3"/>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Arial" w:ascii="Arial" w:hAnsi="Arial"/>
                <w:i/>
                <w:iCs/>
                <w:color w:val="000000"/>
                <w:lang w:eastAsia="fr-FR"/>
              </w:rPr>
            </w:pPr>
            <w:r>
              <w:rPr>
                <w:rFonts w:eastAsia="Times New Roman" w:cs="Arial" w:ascii="Arial" w:hAnsi="Arial"/>
                <w:i/>
                <w:iCs/>
                <w:color w:val="000000"/>
                <w:lang w:eastAsia="fr-FR"/>
              </w:rPr>
            </w:r>
          </w:p>
          <w:p>
            <w:pPr>
              <w:pStyle w:val="Normal"/>
              <w:spacing w:lineRule="auto" w:line="240" w:before="0" w:after="0"/>
              <w:rPr>
                <w:rFonts w:eastAsia="Times New Roman" w:cs="Arial" w:ascii="Arial" w:hAnsi="Arial"/>
                <w:i/>
                <w:iCs/>
                <w:color w:val="000000"/>
                <w:lang w:eastAsia="fr-FR"/>
              </w:rPr>
            </w:pPr>
            <w:r>
              <w:rPr>
                <w:rFonts w:eastAsia="Times New Roman" w:cs="Arial" w:ascii="Arial" w:hAnsi="Arial"/>
                <w:i/>
                <w:iCs/>
                <w:color w:val="000000"/>
                <w:lang w:eastAsia="fr-FR"/>
              </w:rPr>
            </w:r>
          </w:p>
          <w:p>
            <w:pPr>
              <w:pStyle w:val="Normal"/>
              <w:spacing w:lineRule="auto" w:line="240" w:before="0" w:after="0"/>
              <w:rPr>
                <w:rFonts w:eastAsia="Times New Roman" w:cs="Arial" w:ascii="Arial" w:hAnsi="Arial"/>
                <w:i/>
                <w:iCs/>
                <w:color w:val="000000"/>
                <w:lang w:eastAsia="fr-FR"/>
              </w:rPr>
            </w:pPr>
            <w:r>
              <w:rPr>
                <w:rFonts w:eastAsia="Times New Roman" w:cs="Arial" w:ascii="Arial" w:hAnsi="Arial"/>
                <w:i/>
                <w:iCs/>
                <w:color w:val="000000"/>
                <w:lang w:eastAsia="fr-FR"/>
              </w:rPr>
            </w:r>
          </w:p>
          <w:p>
            <w:pPr>
              <w:pStyle w:val="Normal"/>
              <w:spacing w:lineRule="auto" w:line="240" w:before="0" w:after="0"/>
              <w:rPr>
                <w:rFonts w:eastAsia="Times New Roman" w:cs="Arial" w:ascii="Arial" w:hAnsi="Arial"/>
                <w:i/>
                <w:iCs/>
                <w:color w:val="000000"/>
                <w:lang w:eastAsia="fr-FR"/>
              </w:rPr>
            </w:pPr>
            <w:r>
              <w:rPr>
                <w:rFonts w:eastAsia="Times New Roman" w:cs="Arial" w:ascii="Arial" w:hAnsi="Arial"/>
                <w:i/>
                <w:iCs/>
                <w:color w:val="000000"/>
                <w:lang w:eastAsia="fr-FR"/>
              </w:rPr>
              <w:t>Source : RTE - Bilan électrique 2015</w:t>
            </w:r>
          </w:p>
          <w:p>
            <w:pPr>
              <w:pStyle w:val="Normal"/>
              <w:spacing w:lineRule="auto" w:line="240" w:before="0" w:after="0"/>
              <w:rPr>
                <w:rFonts w:eastAsia="Times New Roman" w:cs="Arial" w:ascii="Arial" w:hAnsi="Arial"/>
                <w:i/>
                <w:iCs/>
                <w:color w:val="000000"/>
                <w:lang w:eastAsia="fr-FR"/>
              </w:rPr>
            </w:pPr>
            <w:r>
              <w:rPr>
                <w:rFonts w:eastAsia="Times New Roman" w:cs="Arial" w:ascii="Arial" w:hAnsi="Arial"/>
                <w:i/>
                <w:iCs/>
                <w:color w:val="000000"/>
                <w:lang w:eastAsia="fr-FR"/>
              </w:rPr>
            </w:r>
          </w:p>
          <w:p>
            <w:pPr>
              <w:pStyle w:val="Normal"/>
              <w:spacing w:lineRule="auto" w:line="240" w:before="0" w:after="0"/>
              <w:rPr>
                <w:rFonts w:eastAsia="Times New Roman" w:cs="Arial" w:ascii="Arial" w:hAnsi="Arial"/>
                <w:i/>
                <w:iCs/>
                <w:color w:val="000000"/>
                <w:lang w:eastAsia="fr-FR"/>
              </w:rPr>
            </w:pPr>
            <w:r>
              <w:rPr>
                <w:rFonts w:eastAsia="Times New Roman" w:cs="Arial" w:ascii="Arial" w:hAnsi="Arial"/>
                <w:i/>
                <w:iCs/>
                <w:color w:val="000000"/>
                <w:lang w:eastAsia="fr-FR"/>
              </w:rPr>
            </w:r>
          </w:p>
        </w:tc>
        <w:tc>
          <w:tcPr>
            <w:tcW w:w="1417"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134"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c>
          <w:tcPr>
            <w:tcW w:w="1912" w:type="dxa"/>
            <w:gridSpan w:val="2"/>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color w:val="000000"/>
                <w:lang w:eastAsia="fr-FR"/>
              </w:rPr>
            </w:pPr>
            <w:r>
              <w:rPr>
                <w:rFonts w:eastAsia="Times New Roman" w:cs="Times New Roman"/>
                <w:color w:val="000000"/>
                <w:lang w:eastAsia="fr-FR"/>
              </w:rPr>
            </w:r>
          </w:p>
        </w:tc>
      </w:tr>
    </w:tbl>
    <w:p>
      <w:pPr>
        <w:pStyle w:val="Normal"/>
        <w:rPr/>
      </w:pPr>
      <w:r>
        <w:rPr/>
      </w:r>
    </w:p>
    <w:sectPr>
      <w:footerReference w:type="default" r:id="rId17"/>
      <w:footnotePr>
        <w:numFmt w:val="decimal"/>
      </w:footnotePr>
      <w:type w:val="nextPage"/>
      <w:pgSz w:w="11906" w:h="16838"/>
      <w:pgMar w:left="720" w:right="720" w:header="0" w:top="720" w:footer="708" w:bottom="76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Black">
    <w:charset w:val="00"/>
    <w:family w:val="roman"/>
    <w:pitch w:val="variable"/>
  </w:font>
  <w:font w:name="Wingdings">
    <w:charset w:val="02"/>
    <w:family w:val="auto"/>
    <w:pitch w:val="variable"/>
  </w:font>
  <w:font w:name="Courier New">
    <w:charset w:val="01"/>
    <w:family w:val="modern"/>
    <w:pitch w:val="fixed"/>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depage"/>
      <w:jc w:val="right"/>
      <w:rPr/>
    </w:pPr>
    <w:r>
      <w:rPr/>
      <w:fldChar w:fldCharType="begin"/>
    </w:r>
    <w:r>
      <w:instrText> PAGE </w:instrText>
    </w:r>
    <w:r>
      <w:fldChar w:fldCharType="separate"/>
    </w:r>
    <w:r>
      <w:t>21</w:t>
    </w:r>
    <w:r>
      <w:fldChar w:fldCharType="end"/>
    </w:r>
  </w:p>
  <w:p>
    <w:pPr>
      <w:pStyle w:val="Pieddepage"/>
      <w:rPr/>
    </w:pPr>
    <w:r>
      <w:rPr/>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Notedebasdepage"/>
        <w:rPr>
          <w:rFonts w:cs="Arial" w:ascii="Arial" w:hAnsi="Arial"/>
          <w:sz w:val="16"/>
          <w:szCs w:val="16"/>
        </w:rPr>
      </w:pPr>
      <w:r>
        <w:rPr>
          <w:rStyle w:val="Footnotereference"/>
          <w:rFonts w:cs="Arial" w:ascii="Arial" w:hAnsi="Arial"/>
          <w:sz w:val="16"/>
          <w:szCs w:val="16"/>
        </w:rPr>
        <w:footnoteRef/>
        <w:tab/>
      </w:r>
      <w:r>
        <w:rPr>
          <w:rFonts w:cs="Arial" w:ascii="Arial" w:hAnsi="Arial"/>
          <w:sz w:val="16"/>
          <w:szCs w:val="16"/>
        </w:rPr>
        <w:t xml:space="preserve"> </w:t>
      </w:r>
      <w:r>
        <w:rPr>
          <w:rFonts w:cs="Arial" w:ascii="Arial" w:hAnsi="Arial"/>
          <w:sz w:val="16"/>
          <w:szCs w:val="16"/>
        </w:rPr>
        <w:t>Les énergies finales sont obtenues par transformation des énergies primaires sous des formes directement utilisables (calorifique, mécanique, électrique,…)</w:t>
      </w:r>
    </w:p>
  </w:footnote>
  <w:footnote w:id="3">
    <w:p>
      <w:pPr>
        <w:pStyle w:val="Footnotetext"/>
        <w:rPr>
          <w:rFonts w:cs="Arial" w:ascii="Arial" w:hAnsi="Arial"/>
          <w:sz w:val="16"/>
          <w:szCs w:val="16"/>
        </w:rPr>
      </w:pPr>
      <w:r>
        <w:rPr>
          <w:rStyle w:val="Footnotereference"/>
          <w:rFonts w:cs="Arial" w:ascii="Arial" w:hAnsi="Arial"/>
          <w:sz w:val="16"/>
          <w:szCs w:val="16"/>
        </w:rPr>
        <w:footnoteRef/>
        <w:tab/>
      </w:r>
      <w:r>
        <w:rPr>
          <w:rFonts w:cs="Arial" w:ascii="Arial" w:hAnsi="Arial"/>
          <w:sz w:val="16"/>
          <w:szCs w:val="16"/>
        </w:rPr>
        <w:t xml:space="preserve"> </w:t>
      </w:r>
      <w:r>
        <w:rPr>
          <w:rFonts w:cs="Arial" w:ascii="Arial" w:hAnsi="Arial"/>
          <w:sz w:val="16"/>
          <w:szCs w:val="16"/>
        </w:rPr>
        <w:t>MW = mégawatt = mille kilowatt = million de wattTWh = térawattheure = 10</w:t>
      </w:r>
      <w:r>
        <w:rPr>
          <w:rFonts w:cs="Arial" w:ascii="Arial" w:hAnsi="Arial"/>
          <w:sz w:val="16"/>
          <w:szCs w:val="16"/>
          <w:vertAlign w:val="superscript"/>
        </w:rPr>
        <w:t>12</w:t>
      </w:r>
      <w:r>
        <w:rPr>
          <w:rFonts w:cs="Arial" w:ascii="Arial" w:hAnsi="Arial"/>
          <w:sz w:val="16"/>
          <w:szCs w:val="16"/>
        </w:rPr>
        <w:t xml:space="preserve"> wattheure= 10</w:t>
      </w:r>
      <w:r>
        <w:rPr>
          <w:rFonts w:cs="Arial" w:ascii="Arial" w:hAnsi="Arial"/>
          <w:sz w:val="16"/>
          <w:szCs w:val="16"/>
          <w:vertAlign w:val="superscript"/>
        </w:rPr>
        <w:t>9</w:t>
      </w:r>
      <w:r>
        <w:rPr>
          <w:rFonts w:cs="Arial" w:ascii="Arial" w:hAnsi="Arial"/>
          <w:sz w:val="16"/>
          <w:szCs w:val="16"/>
        </w:rPr>
        <w:t xml:space="preserve"> kilowattheure = milliard de kWh</w:t>
      </w:r>
    </w:p>
    <w:p>
      <w:pPr>
        <w:pStyle w:val="Footnotetext"/>
        <w:rPr>
          <w:sz w:val="16"/>
          <w:szCs w:val="16"/>
        </w:rPr>
      </w:pPr>
      <w:r>
        <w:rPr>
          <w:sz w:val="16"/>
          <w:szCs w:val="16"/>
        </w:rPr>
      </w:r>
    </w:p>
    <w:p>
      <w:pPr>
        <w:pStyle w:val="Notedebasdepage"/>
        <w:rPr/>
      </w:pPr>
      <w:r>
        <w:rPr/>
      </w:r>
    </w:p>
  </w:footnote>
  <w:footnote w:id="4">
    <w:p>
      <w:pPr>
        <w:pStyle w:val="Footnotetext"/>
        <w:jc w:val="both"/>
        <w:rPr>
          <w:rFonts w:cs="Arial" w:ascii="Arial" w:hAnsi="Arial"/>
          <w:sz w:val="16"/>
          <w:szCs w:val="16"/>
        </w:rPr>
      </w:pPr>
      <w:r>
        <w:rPr>
          <w:rStyle w:val="Footnotereference"/>
        </w:rPr>
        <w:footnoteRef/>
        <w:tab/>
      </w:r>
      <w:r>
        <w:rPr/>
        <w:t xml:space="preserve"> </w:t>
      </w:r>
      <w:r>
        <w:rPr>
          <w:rFonts w:cs="Arial" w:ascii="Arial" w:hAnsi="Arial"/>
          <w:sz w:val="16"/>
          <w:szCs w:val="16"/>
        </w:rPr>
        <w:t>Pour la France, le coût des combustibles fossiles importés à 99% représente environ 39,8 milliards d’Euros en 2015, soit environ 1,82% du PIB, mais aussi plus que le déficit de sa balance commerciale. (Effet de la baisse des prix des hydocarbures).Pour l´Allemagne, le coût d´importation des combustibles fossiles représentait environ 59 milliards d´Euros en 2015, soit 1,94% du PIB (environ un tiers de cette somme sont des importations de Russie).</w:t>
      </w:r>
    </w:p>
    <w:p>
      <w:pPr>
        <w:pStyle w:val="Footnotetext"/>
        <w:rPr/>
      </w:pPr>
      <w:r>
        <w:rPr/>
      </w:r>
    </w:p>
    <w:p>
      <w:pPr>
        <w:pStyle w:val="Notedebasdepage"/>
        <w:rPr/>
      </w:pPr>
      <w:r>
        <w:rPr/>
      </w:r>
    </w:p>
  </w:footnote>
  <w:footnote w:id="5">
    <w:p>
      <w:pPr>
        <w:pStyle w:val="Notedebasdepage"/>
        <w:rPr>
          <w:rFonts w:cs="Arial" w:ascii="Arial" w:hAnsi="Arial"/>
          <w:sz w:val="16"/>
          <w:szCs w:val="16"/>
        </w:rPr>
      </w:pPr>
      <w:r>
        <w:rPr>
          <w:rStyle w:val="Footnotereference"/>
          <w:rFonts w:cs="Arial" w:ascii="Arial" w:hAnsi="Arial"/>
          <w:sz w:val="16"/>
          <w:szCs w:val="16"/>
        </w:rPr>
        <w:footnoteRef/>
        <w:tab/>
      </w:r>
      <w:r>
        <w:rPr>
          <w:rFonts w:cs="Arial" w:ascii="Arial" w:hAnsi="Arial"/>
          <w:sz w:val="16"/>
          <w:szCs w:val="16"/>
        </w:rPr>
        <w:t xml:space="preserve"> </w:t>
      </w:r>
      <w:r>
        <w:rPr>
          <w:rFonts w:cs="Arial" w:ascii="Arial" w:hAnsi="Arial"/>
          <w:sz w:val="16"/>
          <w:szCs w:val="16"/>
        </w:rPr>
        <w:t>A noter une différence entre les statistiques allemande et française : en Allemagne les productions en TWh sont « brut », en France elles sont en « net », c’est-à-dire = brut – consommation d’électricité des systèmes de production. La production totale allemande « brut » de 617,4 TWh donne une production « net » de 594 TWh.</w:t>
      </w:r>
    </w:p>
  </w:footnote>
  <w:footnote w:id="6">
    <w:p>
      <w:pPr>
        <w:pStyle w:val="Notedebasdepage"/>
        <w:rPr>
          <w:rFonts w:cs="Arial" w:ascii="Arial" w:hAnsi="Arial"/>
          <w:sz w:val="16"/>
          <w:szCs w:val="16"/>
        </w:rPr>
      </w:pPr>
      <w:r>
        <w:rPr>
          <w:rStyle w:val="Footnotereference"/>
          <w:rFonts w:cs="Arial" w:ascii="Arial" w:hAnsi="Arial"/>
          <w:sz w:val="16"/>
          <w:szCs w:val="16"/>
        </w:rPr>
        <w:footnoteRef/>
        <w:tab/>
      </w:r>
      <w:r>
        <w:rPr>
          <w:rFonts w:cs="Arial" w:ascii="Arial" w:hAnsi="Arial"/>
          <w:sz w:val="16"/>
          <w:szCs w:val="16"/>
        </w:rPr>
        <w:t xml:space="preserve"> </w:t>
      </w:r>
      <w:r>
        <w:rPr>
          <w:rFonts w:cs="Arial" w:ascii="Arial" w:hAnsi="Arial"/>
          <w:sz w:val="16"/>
          <w:szCs w:val="16"/>
        </w:rPr>
        <w:t>Données Eurostat pour 2014.</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65" w:hanging="360"/>
      </w:pPr>
      <w:rPr>
        <w:rFonts w:ascii="Wingdings" w:hAnsi="Wingdings" w:cs="Wingdings"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2">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1065" w:hanging="360"/>
      </w:pPr>
      <w:rPr>
        <w:rFonts w:ascii="Arial" w:hAnsi="Arial" w:cs="Arial"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3"/>
  <w:defaultTabStop w:val="708"/>
  <w:footnotePr>
    <w:numFmt w:val="decimal"/>
    <w:footnote w:id="0"/>
    <w:footnote w:id="1"/>
  </w:footnotePr>
</w:settings>
</file>

<file path=word/styles.xml><?xml version="1.0" encoding="utf-8"?>
<w:styles xmlns:w="http://schemas.openxmlformats.org/wordprocessingml/2006/main">
  <w:docDefaults>
    <w:rPrDefault>
      <w:rPr>
        <w:rFonts w:ascii="Arial" w:hAnsi="Arial" w:eastAsia="SimSun" w:cs="Calibr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1d155d"/>
    <w:pPr>
      <w:widowControl/>
      <w:suppressAutoHyphens w:val="true"/>
      <w:bidi w:val="0"/>
      <w:spacing w:lineRule="auto" w:line="276" w:before="0" w:after="200"/>
      <w:jc w:val="left"/>
    </w:pPr>
    <w:rPr>
      <w:rFonts w:ascii="Calibri" w:hAnsi="Calibri" w:eastAsia="SimSun" w:cs="Calibri"/>
      <w:color w:val="auto"/>
      <w:sz w:val="22"/>
      <w:szCs w:val="22"/>
      <w:lang w:val="fr-FR" w:eastAsia="en-US" w:bidi="ar-SA"/>
    </w:rPr>
  </w:style>
  <w:style w:type="character" w:styleId="DefaultParagraphFont" w:default="1">
    <w:name w:val="Default Paragraph Font"/>
    <w:uiPriority w:val="1"/>
    <w:semiHidden/>
    <w:unhideWhenUsed/>
    <w:rPr/>
  </w:style>
  <w:style w:type="character" w:styleId="EntteCar" w:customStyle="1">
    <w:name w:val="En-tête Car"/>
    <w:uiPriority w:val="99"/>
    <w:link w:val="En-tte"/>
    <w:rsid w:val="00c3648b"/>
    <w:basedOn w:val="DefaultParagraphFont"/>
    <w:rPr>
      <w:rFonts w:ascii="Calibri" w:hAnsi="Calibri"/>
    </w:rPr>
  </w:style>
  <w:style w:type="character" w:styleId="PieddepageCar" w:customStyle="1">
    <w:name w:val="Pied de page Car"/>
    <w:uiPriority w:val="99"/>
    <w:link w:val="Pieddepage"/>
    <w:rsid w:val="00c3648b"/>
    <w:basedOn w:val="DefaultParagraphFont"/>
    <w:rPr>
      <w:rFonts w:ascii="Calibri" w:hAnsi="Calibri"/>
    </w:rPr>
  </w:style>
  <w:style w:type="character" w:styleId="TextedebullesCar" w:customStyle="1">
    <w:name w:val="Texte de bulles Car"/>
    <w:uiPriority w:val="99"/>
    <w:semiHidden/>
    <w:link w:val="Textedebulles"/>
    <w:rsid w:val="00c3648b"/>
    <w:basedOn w:val="DefaultParagraphFont"/>
    <w:rPr>
      <w:rFonts w:ascii="Tahoma" w:hAnsi="Tahoma" w:cs="Tahoma"/>
      <w:sz w:val="16"/>
      <w:szCs w:val="16"/>
    </w:rPr>
  </w:style>
  <w:style w:type="character" w:styleId="NotedebasdepageCar" w:customStyle="1">
    <w:name w:val="Note de bas de page Car"/>
    <w:uiPriority w:val="99"/>
    <w:semiHidden/>
    <w:link w:val="Notedebasdepage"/>
    <w:rsid w:val="002b59f4"/>
    <w:basedOn w:val="DefaultParagraphFont"/>
    <w:rPr>
      <w:rFonts w:ascii="Calibri" w:hAnsi="Calibri"/>
      <w:sz w:val="20"/>
      <w:szCs w:val="20"/>
    </w:rPr>
  </w:style>
  <w:style w:type="character" w:styleId="Footnotereference">
    <w:name w:val="footnote reference"/>
    <w:uiPriority w:val="99"/>
    <w:semiHidden/>
    <w:unhideWhenUsed/>
    <w:rsid w:val="002b59f4"/>
    <w:basedOn w:val="DefaultParagraphFont"/>
    <w:rPr>
      <w:vertAlign w:val="superscript"/>
    </w:rPr>
  </w:style>
  <w:style w:type="character" w:styleId="ListLabel1">
    <w:name w:val="ListLabel 1"/>
    <w:rPr>
      <w:rFonts w:cs="Courier New"/>
    </w:rPr>
  </w:style>
  <w:style w:type="character" w:styleId="ListLabel2">
    <w:name w:val="ListLabel 2"/>
    <w:rPr>
      <w:rFonts w:cs="Arial"/>
    </w:rPr>
  </w:style>
  <w:style w:type="character" w:styleId="Ancredenotedebasdepage">
    <w:name w:val="Ancre de note de bas de page"/>
    <w:rPr>
      <w:vertAlign w:val="superscript"/>
    </w:rPr>
  </w:style>
  <w:style w:type="character" w:styleId="Caractresdenotedebasdepage">
    <w:name w:val="Caractères de note de bas de page"/>
    <w:rPr/>
  </w:style>
  <w:style w:type="character" w:styleId="Ancredenotedefin">
    <w:name w:val="Ancre de note de fin"/>
    <w:rPr>
      <w:vertAlign w:val="superscript"/>
    </w:rPr>
  </w:style>
  <w:style w:type="character" w:styleId="Caractresdenotedefin">
    <w:name w:val="Caractères de note de fin"/>
    <w:rPr/>
  </w:style>
  <w:style w:type="paragraph" w:styleId="Titre">
    <w:name w:val="Titre"/>
    <w:basedOn w:val="Normal"/>
    <w:next w:val="Corpsdetexte"/>
    <w:pPr>
      <w:keepNext/>
      <w:spacing w:before="240" w:after="120"/>
    </w:pPr>
    <w:rPr>
      <w:rFonts w:ascii="Liberation Sans" w:hAnsi="Liberation Sans" w:eastAsia="Microsoft YaHei" w:cs="Ari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Arial"/>
    </w:rPr>
  </w:style>
  <w:style w:type="paragraph" w:styleId="Lgende">
    <w:name w:val="Légende"/>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Entte">
    <w:name w:val="En-tête"/>
    <w:uiPriority w:val="99"/>
    <w:unhideWhenUsed/>
    <w:link w:val="En-tteCar"/>
    <w:rsid w:val="00c3648b"/>
    <w:basedOn w:val="Normal"/>
    <w:pPr>
      <w:tabs>
        <w:tab w:val="center" w:pos="4536" w:leader="none"/>
        <w:tab w:val="right" w:pos="9072" w:leader="none"/>
      </w:tabs>
      <w:spacing w:lineRule="auto" w:line="240" w:before="0" w:after="0"/>
    </w:pPr>
    <w:rPr/>
  </w:style>
  <w:style w:type="paragraph" w:styleId="Pieddepage">
    <w:name w:val="Pied de page"/>
    <w:uiPriority w:val="99"/>
    <w:unhideWhenUsed/>
    <w:link w:val="PieddepageCar"/>
    <w:rsid w:val="00c3648b"/>
    <w:basedOn w:val="Normal"/>
    <w:pPr>
      <w:tabs>
        <w:tab w:val="center" w:pos="4536" w:leader="none"/>
        <w:tab w:val="right" w:pos="9072" w:leader="none"/>
      </w:tabs>
      <w:spacing w:lineRule="auto" w:line="240" w:before="0" w:after="0"/>
    </w:pPr>
    <w:rPr/>
  </w:style>
  <w:style w:type="paragraph" w:styleId="BalloonText">
    <w:name w:val="Balloon Text"/>
    <w:uiPriority w:val="99"/>
    <w:semiHidden/>
    <w:unhideWhenUsed/>
    <w:link w:val="TextedebullesCar"/>
    <w:rsid w:val="00c3648b"/>
    <w:basedOn w:val="Normal"/>
    <w:pPr>
      <w:spacing w:lineRule="auto" w:line="240" w:before="0" w:after="0"/>
    </w:pPr>
    <w:rPr>
      <w:rFonts w:ascii="Tahoma" w:hAnsi="Tahoma" w:cs="Tahoma"/>
      <w:sz w:val="16"/>
      <w:szCs w:val="16"/>
    </w:rPr>
  </w:style>
  <w:style w:type="paragraph" w:styleId="NormalWeb">
    <w:name w:val="Normal (Web)"/>
    <w:uiPriority w:val="99"/>
    <w:semiHidden/>
    <w:unhideWhenUsed/>
    <w:rsid w:val="00d87cc4"/>
    <w:basedOn w:val="Normal"/>
    <w:pPr>
      <w:spacing w:before="0" w:after="280"/>
    </w:pPr>
    <w:rPr>
      <w:rFonts w:ascii="Times New Roman" w:hAnsi="Times New Roman" w:cs="Times New Roman"/>
      <w:sz w:val="24"/>
      <w:szCs w:val="24"/>
      <w:lang w:eastAsia="fr-FR"/>
    </w:rPr>
  </w:style>
  <w:style w:type="paragraph" w:styleId="ListParagraph">
    <w:name w:val="List Paragraph"/>
    <w:uiPriority w:val="34"/>
    <w:qFormat/>
    <w:rsid w:val="002b59f4"/>
    <w:basedOn w:val="Normal"/>
    <w:pPr>
      <w:spacing w:before="0" w:after="200"/>
      <w:ind w:left="720" w:right="0" w:hanging="0"/>
      <w:contextualSpacing/>
    </w:pPr>
    <w:rPr/>
  </w:style>
  <w:style w:type="paragraph" w:styleId="Footnotetext">
    <w:name w:val="footnote text"/>
    <w:uiPriority w:val="99"/>
    <w:semiHidden/>
    <w:unhideWhenUsed/>
    <w:link w:val="NotedebasdepageCar"/>
    <w:rsid w:val="002b59f4"/>
    <w:basedOn w:val="Normal"/>
    <w:pPr>
      <w:spacing w:lineRule="auto" w:line="240" w:before="0" w:after="0"/>
    </w:pPr>
    <w:rPr>
      <w:sz w:val="20"/>
      <w:szCs w:val="20"/>
    </w:rPr>
  </w:style>
  <w:style w:type="paragraph" w:styleId="Notedebasdepage">
    <w:name w:val="Note de bas de page"/>
    <w:basedOn w:val="Normal"/>
    <w:pPr/>
    <w:rPr/>
  </w:style>
  <w:style w:type="paragraph" w:styleId="Contenudecadre">
    <w:name w:val="Contenu de cadre"/>
    <w:basedOn w:val="Normal"/>
    <w:pP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 w:type="table" w:styleId="Grilledutableau">
    <w:name w:val="Table Grid"/>
    <w:basedOn w:val="TableauNormal"/>
    <w:uiPriority w:val="59"/>
    <w:rsid w:val="009720b7"/>
    <w:pPr>
      <w:spacing w:line="240" w:lineRule="auto" w:after="0"/>
    </w:pPr>
    <w:rPr>
      <w:rFonts w:hAnsiTheme="minorHAnsi" w:asciiTheme="minorHAnsi"/>
    </w:r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chart" Target="charts/chart2.xml"/><Relationship Id="rId4" Type="http://schemas.openxmlformats.org/officeDocument/2006/relationships/chart" Target="charts/chart3.xml"/><Relationship Id="rId5" Type="http://schemas.openxmlformats.org/officeDocument/2006/relationships/chart" Target="charts/chart4.xml"/><Relationship Id="rId6" Type="http://schemas.openxmlformats.org/officeDocument/2006/relationships/chart" Target="charts/chart5.xml"/><Relationship Id="rId7" Type="http://schemas.openxmlformats.org/officeDocument/2006/relationships/chart" Target="charts/chart6.xml"/><Relationship Id="rId8" Type="http://schemas.openxmlformats.org/officeDocument/2006/relationships/chart" Target="charts/chart7.xml"/><Relationship Id="rId9" Type="http://schemas.openxmlformats.org/officeDocument/2006/relationships/chart" Target="charts/chart8.xml"/><Relationship Id="rId10" Type="http://schemas.openxmlformats.org/officeDocument/2006/relationships/chart" Target="charts/chart9.xml"/><Relationship Id="rId11" Type="http://schemas.openxmlformats.org/officeDocument/2006/relationships/chart" Target="charts/chart10.xml"/><Relationship Id="rId12" Type="http://schemas.openxmlformats.org/officeDocument/2006/relationships/chart" Target="charts/chart11.xml"/><Relationship Id="rId13" Type="http://schemas.openxmlformats.org/officeDocument/2006/relationships/chart" Target="charts/chart12.xml"/><Relationship Id="rId14" Type="http://schemas.openxmlformats.org/officeDocument/2006/relationships/chart" Target="charts/chart13.xml"/><Relationship Id="rId15" Type="http://schemas.openxmlformats.org/officeDocument/2006/relationships/chart" Target="charts/chart14.xml"/><Relationship Id="rId16" Type="http://schemas.openxmlformats.org/officeDocument/2006/relationships/chart" Target="charts/chart15.xml"/><Relationship Id="rId17" Type="http://schemas.openxmlformats.org/officeDocument/2006/relationships/footer" Target="footer1.xml"/><Relationship Id="rId18" Type="http://schemas.openxmlformats.org/officeDocument/2006/relationships/footnotes" Target="footnotes.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Relationship Id="rId23" Type="http://schemas.openxmlformats.org/officeDocument/2006/relationships/customXml" Target="../customXml/item1.xml"/>
</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b="1">
                <a:solidFill>
                  <a:srgbClr val="000000"/>
                </a:solidFill>
                <a:latin typeface="Calibri"/>
              </a:rPr>
              <a:t> Energies primaires   </a:t>
            </a:r>
          </a:p>
        </c:rich>
      </c:tx>
      <c:layout/>
    </c:title>
    <c:plotArea>
      <c:layout/>
      <c:pieChart>
        <c:varyColors val="1"/>
        <c:ser>
          <c:idx val="0"/>
          <c:order val="0"/>
          <c:tx>
            <c:strRef>
              <c:f>label 3</c:f>
              <c:strCache>
                <c:ptCount val="1"/>
                <c:pt idx="0">
                  <c:v>12,71%</c:v>
                </c:pt>
              </c:strCache>
            </c:strRef>
          </c:tx>
          <c:spPr>
            <a:solidFill>
              <a:srgbClr val="4f81bd"/>
            </a:solidFill>
            <a:ln>
              <a:noFill/>
            </a:ln>
          </c:spPr>
          <c:explosion val="0"/>
          <c:dPt>
            <c:idx val="0"/>
            <c:spPr>
              <a:solidFill>
                <a:srgbClr val="4672a8"/>
              </a:solidFill>
              <a:ln>
                <a:noFill/>
              </a:ln>
            </c:spPr>
          </c:dPt>
          <c:dPt>
            <c:idx val="1"/>
            <c:spPr>
              <a:solidFill>
                <a:srgbClr val="ab4744"/>
              </a:solidFill>
              <a:ln>
                <a:noFill/>
              </a:ln>
            </c:spPr>
          </c:dPt>
          <c:dPt>
            <c:idx val="2"/>
            <c:spPr>
              <a:solidFill>
                <a:srgbClr val="8aa64f"/>
              </a:solidFill>
              <a:ln>
                <a:noFill/>
              </a:ln>
            </c:spPr>
          </c:dPt>
          <c:dPt>
            <c:idx val="3"/>
            <c:spPr>
              <a:solidFill>
                <a:srgbClr val="725990"/>
              </a:solidFill>
              <a:ln>
                <a:noFill/>
              </a:ln>
            </c:spPr>
          </c:dPt>
          <c:dPt>
            <c:idx val="4"/>
            <c:spPr>
              <a:solidFill>
                <a:srgbClr val="4299b0"/>
              </a:solidFill>
              <a:ln>
                <a:noFill/>
              </a:ln>
            </c:spPr>
          </c:dPt>
          <c:dPt>
            <c:idx val="5"/>
            <c:spPr>
              <a:solidFill>
                <a:srgbClr val="dc853e"/>
              </a:solidFill>
              <a:ln>
                <a:noFill/>
              </a:ln>
            </c:spPr>
          </c:dPt>
          <c:dPt>
            <c:idx val="6"/>
            <c:spPr>
              <a:solidFill>
                <a:srgbClr val="93a9ce"/>
              </a:solidFill>
              <a:ln>
                <a:noFill/>
              </a:ln>
            </c:spPr>
          </c:dPt>
          <c:dLbls>
            <c:dLbl>
              <c:idx val="0"/>
              <c:dLblPos/>
              <c:showLegendKey val="0"/>
              <c:showVal val="0"/>
              <c:showCatName val="1"/>
              <c:showSerName val="0"/>
              <c:showPercent val="1"/>
              <c:separator>; </c:separator>
            </c:dLbl>
            <c:dLbl>
              <c:idx val="1"/>
              <c:dLblPos val="t"/>
              <c:showLegendKey val="0"/>
              <c:showVal val="0"/>
              <c:showCatName val="1"/>
              <c:showSerName val="0"/>
              <c:showPercent val="1"/>
              <c:separator>; </c:separator>
            </c:dLbl>
            <c:dLbl>
              <c:idx val="2"/>
              <c:dLblPos/>
              <c:showLegendKey val="0"/>
              <c:showVal val="0"/>
              <c:showCatName val="1"/>
              <c:showSerName val="0"/>
              <c:showPercent val="1"/>
              <c:separator>; </c:separator>
            </c:dLbl>
            <c:dLbl>
              <c:idx val="3"/>
              <c:dLblPos/>
              <c:showLegendKey val="0"/>
              <c:showVal val="0"/>
              <c:showCatName val="1"/>
              <c:showSerName val="0"/>
              <c:showPercent val="1"/>
              <c:separator>; </c:separator>
            </c:dLbl>
            <c:dLbl>
              <c:idx val="4"/>
              <c:dLblPos val="l"/>
              <c:showLegendKey val="0"/>
              <c:showVal val="0"/>
              <c:showCatName val="1"/>
              <c:showSerName val="0"/>
              <c:showPercent val="1"/>
              <c:separator>; </c:separator>
            </c:dLbl>
            <c:dLbl>
              <c:idx val="5"/>
              <c:dLblPos val="l"/>
              <c:showLegendKey val="0"/>
              <c:showVal val="0"/>
              <c:showCatName val="1"/>
              <c:showSerName val="0"/>
              <c:showPercent val="1"/>
              <c:separator>; </c:separator>
            </c:dLbl>
            <c:dLbl>
              <c:idx val="6"/>
              <c:dLblPos/>
              <c:showLegendKey val="0"/>
              <c:showVal val="0"/>
              <c:showCatName val="1"/>
              <c:showSerName val="0"/>
              <c:showPercent val="1"/>
              <c:separator>; </c:separator>
            </c:dLbl>
            <c:showLegendKey val="0"/>
            <c:showVal val="0"/>
            <c:showCatName val="1"/>
            <c:showSerName val="0"/>
            <c:showPercent val="1"/>
          </c:dLbls>
          <c:cat>
            <c:strRef>
              <c:f>categories</c:f>
              <c:strCache>
                <c:ptCount val="7"/>
                <c:pt idx="0">
                  <c:v>Charbon</c:v>
                </c:pt>
                <c:pt idx="1">
                  <c:v>Lignite</c:v>
                </c:pt>
                <c:pt idx="2">
                  <c:v>Pétrole</c:v>
                </c:pt>
                <c:pt idx="3">
                  <c:v>Gaz</c:v>
                </c:pt>
                <c:pt idx="4">
                  <c:v>Nucléaire</c:v>
                </c:pt>
                <c:pt idx="5">
                  <c:v>ENR</c:v>
                </c:pt>
                <c:pt idx="6">
                  <c:v/>
                </c:pt>
              </c:strCache>
            </c:strRef>
          </c:cat>
          <c:val>
            <c:numRef>
              <c:f>3</c:f>
              <c:numCache>
                <c:formatCode>General</c:formatCode>
                <c:ptCount val="7"/>
                <c:pt idx="0">
                  <c:v>0.12709188506473</c:v>
                </c:pt>
                <c:pt idx="1">
                  <c:v>0.117745500473634</c:v>
                </c:pt>
                <c:pt idx="2">
                  <c:v>0.33899589516893</c:v>
                </c:pt>
                <c:pt idx="3">
                  <c:v>0.211335648879065</c:v>
                </c:pt>
                <c:pt idx="4">
                  <c:v>0.0752131354594253</c:v>
                </c:pt>
                <c:pt idx="5">
                  <c:v>0.125418377012946</c:v>
                </c:pt>
                <c:pt idx="6">
                  <c:v>0.0181875592042943</c:v>
                </c:pt>
              </c:numCache>
            </c:numRef>
          </c:val>
        </c:ser>
        <c:ser>
          <c:idx val="1"/>
          <c:order val="1"/>
          <c:tx>
            <c:strRef>
              <c:f>label 4</c:f>
              <c:strCache>
                <c:ptCount val="1"/>
                <c:pt idx="0">
                  <c:v>#REF!</c:v>
                </c:pt>
              </c:strCache>
            </c:strRef>
          </c:tx>
          <c:spPr>
            <a:solidFill>
              <a:srgbClr val="c0504d"/>
            </a:solidFill>
            <a:ln>
              <a:noFill/>
            </a:ln>
          </c:spPr>
          <c:explosion val="0"/>
          <c:dPt>
            <c:idx val="0"/>
            <c:spPr>
              <a:solidFill>
                <a:srgbClr val="4672a8"/>
              </a:solidFill>
              <a:ln>
                <a:noFill/>
              </a:ln>
            </c:spPr>
          </c:dPt>
          <c:dPt>
            <c:idx val="1"/>
            <c:spPr>
              <a:solidFill>
                <a:srgbClr val="ab4744"/>
              </a:solidFill>
              <a:ln>
                <a:noFill/>
              </a:ln>
            </c:spPr>
          </c:dPt>
          <c:dPt>
            <c:idx val="2"/>
            <c:spPr>
              <a:solidFill>
                <a:srgbClr val="8aa64f"/>
              </a:solidFill>
              <a:ln>
                <a:noFill/>
              </a:ln>
            </c:spPr>
          </c:dPt>
          <c:dPt>
            <c:idx val="3"/>
            <c:spPr>
              <a:solidFill>
                <a:srgbClr val="725990"/>
              </a:solidFill>
              <a:ln>
                <a:noFill/>
              </a:ln>
            </c:spPr>
          </c:dPt>
          <c:dPt>
            <c:idx val="4"/>
            <c:spPr>
              <a:solidFill>
                <a:srgbClr val="4299b0"/>
              </a:solidFill>
              <a:ln>
                <a:noFill/>
              </a:ln>
            </c:spPr>
          </c:dPt>
          <c:dPt>
            <c:idx val="5"/>
            <c:spPr>
              <a:solidFill>
                <a:srgbClr val="dc853e"/>
              </a:solidFill>
              <a:ln>
                <a:noFill/>
              </a:ln>
            </c:spPr>
          </c:dPt>
          <c:dPt>
            <c:idx val="6"/>
            <c:spPr>
              <a:solidFill>
                <a:srgbClr val="93a9ce"/>
              </a:solidFill>
              <a:ln>
                <a:noFill/>
              </a:ln>
            </c:spPr>
          </c:dPt>
          <c:dLbls>
            <c:dLbl>
              <c:idx val="0"/>
              <c:dLblPos val="bestFit"/>
              <c:showLegendKey val="0"/>
              <c:showVal val="1"/>
              <c:showCatName val="0"/>
              <c:showSerName val="0"/>
              <c:showPercent val="0"/>
              <c:separator>; </c:separator>
            </c:dLbl>
            <c:dLbl>
              <c:idx val="1"/>
              <c:dLblPos val="bestFit"/>
              <c:showLegendKey val="0"/>
              <c:showVal val="1"/>
              <c:showCatName val="0"/>
              <c:showSerName val="0"/>
              <c:showPercent val="0"/>
              <c:separator>; </c:separator>
            </c:dLbl>
            <c:dLbl>
              <c:idx val="2"/>
              <c:dLblPos val="bestFit"/>
              <c:showLegendKey val="0"/>
              <c:showVal val="1"/>
              <c:showCatName val="0"/>
              <c:showSerName val="0"/>
              <c:showPercent val="0"/>
              <c:separator>; </c:separator>
            </c:dLbl>
            <c:dLbl>
              <c:idx val="3"/>
              <c:dLblPos val="bestFit"/>
              <c:showLegendKey val="0"/>
              <c:showVal val="1"/>
              <c:showCatName val="0"/>
              <c:showSerName val="0"/>
              <c:showPercent val="0"/>
              <c:separator>; </c:separator>
            </c:dLbl>
            <c:dLbl>
              <c:idx val="4"/>
              <c:dLblPos val="bestFit"/>
              <c:showLegendKey val="0"/>
              <c:showVal val="1"/>
              <c:showCatName val="0"/>
              <c:showSerName val="0"/>
              <c:showPercent val="0"/>
              <c:separator>; </c:separator>
            </c:dLbl>
            <c:dLbl>
              <c:idx val="5"/>
              <c:dLblPos val="bestFit"/>
              <c:showLegendKey val="0"/>
              <c:showVal val="1"/>
              <c:showCatName val="0"/>
              <c:showSerName val="0"/>
              <c:showPercent val="0"/>
              <c:separator>; </c:separator>
            </c:dLbl>
            <c:dLbl>
              <c:idx val="6"/>
              <c:dLblPos val="bestFit"/>
              <c:showLegendKey val="0"/>
              <c:showVal val="1"/>
              <c:showCatName val="0"/>
              <c:showSerName val="0"/>
              <c:showPercent val="0"/>
              <c:separator>; </c:separator>
            </c:dLbl>
            <c:showLegendKey val="0"/>
            <c:showVal val="1"/>
            <c:showCatName val="0"/>
            <c:showSerName val="0"/>
            <c:showPercent val="0"/>
          </c:dLbls>
          <c:cat>
            <c:strRef>
              <c:f>categories</c:f>
              <c:strCache>
                <c:ptCount val="7"/>
                <c:pt idx="0">
                  <c:v>Charbon</c:v>
                </c:pt>
                <c:pt idx="1">
                  <c:v>Lignite</c:v>
                </c:pt>
                <c:pt idx="2">
                  <c:v>Pétrole</c:v>
                </c:pt>
                <c:pt idx="3">
                  <c:v>Gaz</c:v>
                </c:pt>
                <c:pt idx="4">
                  <c:v>Nucléaire</c:v>
                </c:pt>
                <c:pt idx="5">
                  <c:v>ENR</c:v>
                </c:pt>
                <c:pt idx="6">
                  <c:v/>
                </c:pt>
              </c:strCache>
            </c:strRef>
          </c:cat>
          <c:val>
            <c:numRef>
              <c:f>4</c:f>
              <c:numCache>
                <c:formatCode>General</c:formatCode>
                <c:ptCount val="7"/>
                <c:pt idx="0">
                  <c:v>1</c:v>
                </c:pt>
                <c:pt idx="1">
                  <c:v/>
                </c:pt>
                <c:pt idx="2">
                  <c:v/>
                </c:pt>
                <c:pt idx="3">
                  <c:v/>
                </c:pt>
                <c:pt idx="4">
                  <c:v/>
                </c:pt>
                <c:pt idx="5">
                  <c:v/>
                </c:pt>
                <c:pt idx="6">
                  <c:v/>
                </c:pt>
              </c:numCache>
            </c:numRef>
          </c:val>
        </c:ser>
        <c:ser>
          <c:idx val="2"/>
          <c:order val="2"/>
          <c:tx>
            <c:strRef>
              <c:f>label 5</c:f>
              <c:strCache>
                <c:ptCount val="1"/>
                <c:pt idx="0">
                  <c:v>33,90%</c:v>
                </c:pt>
              </c:strCache>
            </c:strRef>
          </c:tx>
          <c:spPr>
            <a:solidFill>
              <a:srgbClr val="9bbb59"/>
            </a:solidFill>
            <a:ln>
              <a:noFill/>
            </a:ln>
          </c:spPr>
          <c:explosion val="0"/>
          <c:dPt>
            <c:idx val="0"/>
            <c:spPr>
              <a:solidFill>
                <a:srgbClr val="4672a8"/>
              </a:solidFill>
              <a:ln>
                <a:noFill/>
              </a:ln>
            </c:spPr>
          </c:dPt>
          <c:dPt>
            <c:idx val="1"/>
            <c:spPr>
              <a:solidFill>
                <a:srgbClr val="ab4744"/>
              </a:solidFill>
              <a:ln>
                <a:noFill/>
              </a:ln>
            </c:spPr>
          </c:dPt>
          <c:dPt>
            <c:idx val="2"/>
            <c:spPr>
              <a:solidFill>
                <a:srgbClr val="8aa64f"/>
              </a:solidFill>
              <a:ln>
                <a:noFill/>
              </a:ln>
            </c:spPr>
          </c:dPt>
          <c:dPt>
            <c:idx val="3"/>
            <c:spPr>
              <a:solidFill>
                <a:srgbClr val="725990"/>
              </a:solidFill>
              <a:ln>
                <a:noFill/>
              </a:ln>
            </c:spPr>
          </c:dPt>
          <c:dPt>
            <c:idx val="4"/>
            <c:spPr>
              <a:solidFill>
                <a:srgbClr val="4299b0"/>
              </a:solidFill>
              <a:ln>
                <a:noFill/>
              </a:ln>
            </c:spPr>
          </c:dPt>
          <c:dPt>
            <c:idx val="5"/>
            <c:spPr>
              <a:solidFill>
                <a:srgbClr val="dc853e"/>
              </a:solidFill>
              <a:ln>
                <a:noFill/>
              </a:ln>
            </c:spPr>
          </c:dPt>
          <c:dPt>
            <c:idx val="6"/>
            <c:spPr>
              <a:solidFill>
                <a:srgbClr val="93a9ce"/>
              </a:solidFill>
              <a:ln>
                <a:noFill/>
              </a:ln>
            </c:spPr>
          </c:dPt>
          <c:dLbls>
            <c:dLbl>
              <c:idx val="0"/>
              <c:dLblPos val="bestFit"/>
              <c:showLegendKey val="0"/>
              <c:showVal val="1"/>
              <c:showCatName val="0"/>
              <c:showSerName val="0"/>
              <c:showPercent val="0"/>
              <c:separator>; </c:separator>
            </c:dLbl>
            <c:dLbl>
              <c:idx val="1"/>
              <c:dLblPos val="bestFit"/>
              <c:showLegendKey val="0"/>
              <c:showVal val="1"/>
              <c:showCatName val="0"/>
              <c:showSerName val="0"/>
              <c:showPercent val="0"/>
              <c:separator>; </c:separator>
            </c:dLbl>
            <c:dLbl>
              <c:idx val="2"/>
              <c:dLblPos val="bestFit"/>
              <c:showLegendKey val="0"/>
              <c:showVal val="1"/>
              <c:showCatName val="0"/>
              <c:showSerName val="0"/>
              <c:showPercent val="0"/>
              <c:separator>; </c:separator>
            </c:dLbl>
            <c:dLbl>
              <c:idx val="3"/>
              <c:dLblPos val="bestFit"/>
              <c:showLegendKey val="0"/>
              <c:showVal val="1"/>
              <c:showCatName val="0"/>
              <c:showSerName val="0"/>
              <c:showPercent val="0"/>
              <c:separator>; </c:separator>
            </c:dLbl>
            <c:dLbl>
              <c:idx val="4"/>
              <c:dLblPos val="bestFit"/>
              <c:showLegendKey val="0"/>
              <c:showVal val="1"/>
              <c:showCatName val="0"/>
              <c:showSerName val="0"/>
              <c:showPercent val="0"/>
              <c:separator>; </c:separator>
            </c:dLbl>
            <c:dLbl>
              <c:idx val="5"/>
              <c:dLblPos val="bestFit"/>
              <c:showLegendKey val="0"/>
              <c:showVal val="1"/>
              <c:showCatName val="0"/>
              <c:showSerName val="0"/>
              <c:showPercent val="0"/>
              <c:separator>; </c:separator>
            </c:dLbl>
            <c:dLbl>
              <c:idx val="6"/>
              <c:dLblPos val="bestFit"/>
              <c:showLegendKey val="0"/>
              <c:showVal val="1"/>
              <c:showCatName val="0"/>
              <c:showSerName val="0"/>
              <c:showPercent val="0"/>
              <c:separator>; </c:separator>
            </c:dLbl>
            <c:showLegendKey val="0"/>
            <c:showVal val="1"/>
            <c:showCatName val="0"/>
            <c:showSerName val="0"/>
            <c:showPercent val="0"/>
          </c:dLbls>
          <c:cat>
            <c:strRef>
              <c:f>categories</c:f>
              <c:strCache>
                <c:ptCount val="7"/>
                <c:pt idx="0">
                  <c:v>Charbon</c:v>
                </c:pt>
                <c:pt idx="1">
                  <c:v>Lignite</c:v>
                </c:pt>
                <c:pt idx="2">
                  <c:v>Pétrole</c:v>
                </c:pt>
                <c:pt idx="3">
                  <c:v>Gaz</c:v>
                </c:pt>
                <c:pt idx="4">
                  <c:v>Nucléaire</c:v>
                </c:pt>
                <c:pt idx="5">
                  <c:v>ENR</c:v>
                </c:pt>
                <c:pt idx="6">
                  <c:v/>
                </c:pt>
              </c:strCache>
            </c:strRef>
          </c:cat>
          <c:val>
            <c:numRef>
              <c:f>5</c:f>
              <c:numCache>
                <c:formatCode>General</c:formatCode>
                <c:ptCount val="7"/>
                <c:pt idx="0">
                  <c:v>1</c:v>
                </c:pt>
                <c:pt idx="1">
                  <c:v/>
                </c:pt>
                <c:pt idx="2">
                  <c:v/>
                </c:pt>
                <c:pt idx="3">
                  <c:v/>
                </c:pt>
                <c:pt idx="4">
                  <c:v/>
                </c:pt>
                <c:pt idx="5">
                  <c:v/>
                </c:pt>
                <c:pt idx="6">
                  <c:v/>
                </c:pt>
              </c:numCache>
            </c:numRef>
          </c:val>
        </c:ser>
        <c:ser>
          <c:idx val="3"/>
          <c:order val="3"/>
          <c:tx>
            <c:strRef>
              <c:f>label 6</c:f>
              <c:strCache>
                <c:ptCount val="1"/>
                <c:pt idx="0">
                  <c:v>21,13%</c:v>
                </c:pt>
              </c:strCache>
            </c:strRef>
          </c:tx>
          <c:spPr>
            <a:solidFill>
              <a:srgbClr val="8064a2"/>
            </a:solidFill>
            <a:ln>
              <a:noFill/>
            </a:ln>
          </c:spPr>
          <c:explosion val="0"/>
          <c:dPt>
            <c:idx val="0"/>
            <c:spPr>
              <a:solidFill>
                <a:srgbClr val="4672a8"/>
              </a:solidFill>
              <a:ln>
                <a:noFill/>
              </a:ln>
            </c:spPr>
          </c:dPt>
          <c:dPt>
            <c:idx val="1"/>
            <c:spPr>
              <a:solidFill>
                <a:srgbClr val="ab4744"/>
              </a:solidFill>
              <a:ln>
                <a:noFill/>
              </a:ln>
            </c:spPr>
          </c:dPt>
          <c:dPt>
            <c:idx val="2"/>
            <c:spPr>
              <a:solidFill>
                <a:srgbClr val="8aa64f"/>
              </a:solidFill>
              <a:ln>
                <a:noFill/>
              </a:ln>
            </c:spPr>
          </c:dPt>
          <c:dPt>
            <c:idx val="3"/>
            <c:spPr>
              <a:solidFill>
                <a:srgbClr val="725990"/>
              </a:solidFill>
              <a:ln>
                <a:noFill/>
              </a:ln>
            </c:spPr>
          </c:dPt>
          <c:dPt>
            <c:idx val="4"/>
            <c:spPr>
              <a:solidFill>
                <a:srgbClr val="4299b0"/>
              </a:solidFill>
              <a:ln>
                <a:noFill/>
              </a:ln>
            </c:spPr>
          </c:dPt>
          <c:dPt>
            <c:idx val="5"/>
            <c:spPr>
              <a:solidFill>
                <a:srgbClr val="dc853e"/>
              </a:solidFill>
              <a:ln>
                <a:noFill/>
              </a:ln>
            </c:spPr>
          </c:dPt>
          <c:dPt>
            <c:idx val="6"/>
            <c:spPr>
              <a:solidFill>
                <a:srgbClr val="93a9ce"/>
              </a:solidFill>
              <a:ln>
                <a:noFill/>
              </a:ln>
            </c:spPr>
          </c:dPt>
          <c:dLbls>
            <c:dLbl>
              <c:idx val="0"/>
              <c:dLblPos val="bestFit"/>
              <c:showLegendKey val="0"/>
              <c:showVal val="1"/>
              <c:showCatName val="0"/>
              <c:showSerName val="0"/>
              <c:showPercent val="0"/>
              <c:separator>; </c:separator>
            </c:dLbl>
            <c:dLbl>
              <c:idx val="1"/>
              <c:dLblPos val="bestFit"/>
              <c:showLegendKey val="0"/>
              <c:showVal val="1"/>
              <c:showCatName val="0"/>
              <c:showSerName val="0"/>
              <c:showPercent val="0"/>
              <c:separator>; </c:separator>
            </c:dLbl>
            <c:dLbl>
              <c:idx val="2"/>
              <c:dLblPos val="bestFit"/>
              <c:showLegendKey val="0"/>
              <c:showVal val="1"/>
              <c:showCatName val="0"/>
              <c:showSerName val="0"/>
              <c:showPercent val="0"/>
              <c:separator>; </c:separator>
            </c:dLbl>
            <c:dLbl>
              <c:idx val="3"/>
              <c:dLblPos val="bestFit"/>
              <c:showLegendKey val="0"/>
              <c:showVal val="1"/>
              <c:showCatName val="0"/>
              <c:showSerName val="0"/>
              <c:showPercent val="0"/>
              <c:separator>; </c:separator>
            </c:dLbl>
            <c:dLbl>
              <c:idx val="4"/>
              <c:dLblPos val="bestFit"/>
              <c:showLegendKey val="0"/>
              <c:showVal val="1"/>
              <c:showCatName val="0"/>
              <c:showSerName val="0"/>
              <c:showPercent val="0"/>
              <c:separator>; </c:separator>
            </c:dLbl>
            <c:dLbl>
              <c:idx val="5"/>
              <c:dLblPos val="bestFit"/>
              <c:showLegendKey val="0"/>
              <c:showVal val="1"/>
              <c:showCatName val="0"/>
              <c:showSerName val="0"/>
              <c:showPercent val="0"/>
              <c:separator>; </c:separator>
            </c:dLbl>
            <c:dLbl>
              <c:idx val="6"/>
              <c:dLblPos val="bestFit"/>
              <c:showLegendKey val="0"/>
              <c:showVal val="1"/>
              <c:showCatName val="0"/>
              <c:showSerName val="0"/>
              <c:showPercent val="0"/>
              <c:separator>; </c:separator>
            </c:dLbl>
            <c:showLegendKey val="0"/>
            <c:showVal val="1"/>
            <c:showCatName val="0"/>
            <c:showSerName val="0"/>
            <c:showPercent val="0"/>
          </c:dLbls>
          <c:cat>
            <c:strRef>
              <c:f>categories</c:f>
              <c:strCache>
                <c:ptCount val="7"/>
                <c:pt idx="0">
                  <c:v>Charbon</c:v>
                </c:pt>
                <c:pt idx="1">
                  <c:v>Lignite</c:v>
                </c:pt>
                <c:pt idx="2">
                  <c:v>Pétrole</c:v>
                </c:pt>
                <c:pt idx="3">
                  <c:v>Gaz</c:v>
                </c:pt>
                <c:pt idx="4">
                  <c:v>Nucléaire</c:v>
                </c:pt>
                <c:pt idx="5">
                  <c:v>ENR</c:v>
                </c:pt>
                <c:pt idx="6">
                  <c:v/>
                </c:pt>
              </c:strCache>
            </c:strRef>
          </c:cat>
          <c:val>
            <c:numRef>
              <c:f>6</c:f>
              <c:numCache>
                <c:formatCode>General</c:formatCode>
                <c:ptCount val="7"/>
                <c:pt idx="0">
                  <c:v>1</c:v>
                </c:pt>
                <c:pt idx="1">
                  <c:v/>
                </c:pt>
                <c:pt idx="2">
                  <c:v/>
                </c:pt>
                <c:pt idx="3">
                  <c:v/>
                </c:pt>
                <c:pt idx="4">
                  <c:v/>
                </c:pt>
                <c:pt idx="5">
                  <c:v/>
                </c:pt>
                <c:pt idx="6">
                  <c:v/>
                </c:pt>
              </c:numCache>
            </c:numRef>
          </c:val>
        </c:ser>
        <c:ser>
          <c:idx val="4"/>
          <c:order val="4"/>
          <c:tx>
            <c:strRef>
              <c:f>label 7</c:f>
              <c:strCache>
                <c:ptCount val="1"/>
                <c:pt idx="0">
                  <c:v>12,54%</c:v>
                </c:pt>
              </c:strCache>
            </c:strRef>
          </c:tx>
          <c:spPr>
            <a:solidFill>
              <a:srgbClr val="4bacc6"/>
            </a:solidFill>
            <a:ln>
              <a:noFill/>
            </a:ln>
          </c:spPr>
          <c:explosion val="0"/>
          <c:dPt>
            <c:idx val="0"/>
            <c:spPr>
              <a:solidFill>
                <a:srgbClr val="4672a8"/>
              </a:solidFill>
              <a:ln>
                <a:noFill/>
              </a:ln>
            </c:spPr>
          </c:dPt>
          <c:dPt>
            <c:idx val="1"/>
            <c:spPr>
              <a:solidFill>
                <a:srgbClr val="ab4744"/>
              </a:solidFill>
              <a:ln>
                <a:noFill/>
              </a:ln>
            </c:spPr>
          </c:dPt>
          <c:dPt>
            <c:idx val="2"/>
            <c:spPr>
              <a:solidFill>
                <a:srgbClr val="8aa64f"/>
              </a:solidFill>
              <a:ln>
                <a:noFill/>
              </a:ln>
            </c:spPr>
          </c:dPt>
          <c:dPt>
            <c:idx val="3"/>
            <c:spPr>
              <a:solidFill>
                <a:srgbClr val="725990"/>
              </a:solidFill>
              <a:ln>
                <a:noFill/>
              </a:ln>
            </c:spPr>
          </c:dPt>
          <c:dPt>
            <c:idx val="4"/>
            <c:spPr>
              <a:solidFill>
                <a:srgbClr val="4299b0"/>
              </a:solidFill>
              <a:ln>
                <a:noFill/>
              </a:ln>
            </c:spPr>
          </c:dPt>
          <c:dPt>
            <c:idx val="5"/>
            <c:spPr>
              <a:solidFill>
                <a:srgbClr val="dc853e"/>
              </a:solidFill>
              <a:ln>
                <a:noFill/>
              </a:ln>
            </c:spPr>
          </c:dPt>
          <c:dPt>
            <c:idx val="6"/>
            <c:spPr>
              <a:solidFill>
                <a:srgbClr val="93a9ce"/>
              </a:solidFill>
              <a:ln>
                <a:noFill/>
              </a:ln>
            </c:spPr>
          </c:dPt>
          <c:dLbls>
            <c:dLbl>
              <c:idx val="0"/>
              <c:dLblPos val="bestFit"/>
              <c:showLegendKey val="0"/>
              <c:showVal val="1"/>
              <c:showCatName val="0"/>
              <c:showSerName val="0"/>
              <c:showPercent val="0"/>
              <c:separator>; </c:separator>
            </c:dLbl>
            <c:dLbl>
              <c:idx val="1"/>
              <c:dLblPos val="bestFit"/>
              <c:showLegendKey val="0"/>
              <c:showVal val="1"/>
              <c:showCatName val="0"/>
              <c:showSerName val="0"/>
              <c:showPercent val="0"/>
              <c:separator>; </c:separator>
            </c:dLbl>
            <c:dLbl>
              <c:idx val="2"/>
              <c:dLblPos val="bestFit"/>
              <c:showLegendKey val="0"/>
              <c:showVal val="1"/>
              <c:showCatName val="0"/>
              <c:showSerName val="0"/>
              <c:showPercent val="0"/>
              <c:separator>; </c:separator>
            </c:dLbl>
            <c:dLbl>
              <c:idx val="3"/>
              <c:dLblPos val="bestFit"/>
              <c:showLegendKey val="0"/>
              <c:showVal val="1"/>
              <c:showCatName val="0"/>
              <c:showSerName val="0"/>
              <c:showPercent val="0"/>
              <c:separator>; </c:separator>
            </c:dLbl>
            <c:dLbl>
              <c:idx val="4"/>
              <c:dLblPos val="bestFit"/>
              <c:showLegendKey val="0"/>
              <c:showVal val="1"/>
              <c:showCatName val="0"/>
              <c:showSerName val="0"/>
              <c:showPercent val="0"/>
              <c:separator>; </c:separator>
            </c:dLbl>
            <c:dLbl>
              <c:idx val="5"/>
              <c:dLblPos val="bestFit"/>
              <c:showLegendKey val="0"/>
              <c:showVal val="1"/>
              <c:showCatName val="0"/>
              <c:showSerName val="0"/>
              <c:showPercent val="0"/>
              <c:separator>; </c:separator>
            </c:dLbl>
            <c:dLbl>
              <c:idx val="6"/>
              <c:dLblPos val="bestFit"/>
              <c:showLegendKey val="0"/>
              <c:showVal val="1"/>
              <c:showCatName val="0"/>
              <c:showSerName val="0"/>
              <c:showPercent val="0"/>
              <c:separator>; </c:separator>
            </c:dLbl>
            <c:showLegendKey val="0"/>
            <c:showVal val="1"/>
            <c:showCatName val="0"/>
            <c:showSerName val="0"/>
            <c:showPercent val="0"/>
          </c:dLbls>
          <c:cat>
            <c:strRef>
              <c:f>categories</c:f>
              <c:strCache>
                <c:ptCount val="7"/>
                <c:pt idx="0">
                  <c:v>Charbon</c:v>
                </c:pt>
                <c:pt idx="1">
                  <c:v>Lignite</c:v>
                </c:pt>
                <c:pt idx="2">
                  <c:v>Pétrole</c:v>
                </c:pt>
                <c:pt idx="3">
                  <c:v>Gaz</c:v>
                </c:pt>
                <c:pt idx="4">
                  <c:v>Nucléaire</c:v>
                </c:pt>
                <c:pt idx="5">
                  <c:v>ENR</c:v>
                </c:pt>
                <c:pt idx="6">
                  <c:v/>
                </c:pt>
              </c:strCache>
            </c:strRef>
          </c:cat>
          <c:val>
            <c:numRef>
              <c:f>7</c:f>
              <c:numCache>
                <c:formatCode>General</c:formatCode>
                <c:ptCount val="7"/>
                <c:pt idx="0">
                  <c:v>1</c:v>
                </c:pt>
                <c:pt idx="1">
                  <c:v/>
                </c:pt>
                <c:pt idx="2">
                  <c:v/>
                </c:pt>
                <c:pt idx="3">
                  <c:v/>
                </c:pt>
                <c:pt idx="4">
                  <c:v/>
                </c:pt>
                <c:pt idx="5">
                  <c:v/>
                </c:pt>
                <c:pt idx="6">
                  <c:v/>
                </c:pt>
              </c:numCache>
            </c:numRef>
          </c:val>
        </c:ser>
        <c:ser>
          <c:idx val="5"/>
          <c:order val="5"/>
          <c:tx>
            <c:strRef>
              <c:f>label 8</c:f>
              <c:strCache>
                <c:ptCount val="1"/>
                <c:pt idx="0">
                  <c:v>1,82%</c:v>
                </c:pt>
              </c:strCache>
            </c:strRef>
          </c:tx>
          <c:spPr>
            <a:solidFill>
              <a:srgbClr val="f79646"/>
            </a:solidFill>
            <a:ln>
              <a:noFill/>
            </a:ln>
          </c:spPr>
          <c:explosion val="0"/>
          <c:dPt>
            <c:idx val="0"/>
            <c:spPr>
              <a:solidFill>
                <a:srgbClr val="4672a8"/>
              </a:solidFill>
              <a:ln>
                <a:noFill/>
              </a:ln>
            </c:spPr>
          </c:dPt>
          <c:dPt>
            <c:idx val="1"/>
            <c:spPr>
              <a:solidFill>
                <a:srgbClr val="ab4744"/>
              </a:solidFill>
              <a:ln>
                <a:noFill/>
              </a:ln>
            </c:spPr>
          </c:dPt>
          <c:dPt>
            <c:idx val="2"/>
            <c:spPr>
              <a:solidFill>
                <a:srgbClr val="8aa64f"/>
              </a:solidFill>
              <a:ln>
                <a:noFill/>
              </a:ln>
            </c:spPr>
          </c:dPt>
          <c:dPt>
            <c:idx val="3"/>
            <c:spPr>
              <a:solidFill>
                <a:srgbClr val="725990"/>
              </a:solidFill>
              <a:ln>
                <a:noFill/>
              </a:ln>
            </c:spPr>
          </c:dPt>
          <c:dPt>
            <c:idx val="4"/>
            <c:spPr>
              <a:solidFill>
                <a:srgbClr val="4299b0"/>
              </a:solidFill>
              <a:ln>
                <a:noFill/>
              </a:ln>
            </c:spPr>
          </c:dPt>
          <c:dPt>
            <c:idx val="5"/>
            <c:spPr>
              <a:solidFill>
                <a:srgbClr val="dc853e"/>
              </a:solidFill>
              <a:ln>
                <a:noFill/>
              </a:ln>
            </c:spPr>
          </c:dPt>
          <c:dPt>
            <c:idx val="6"/>
            <c:spPr>
              <a:solidFill>
                <a:srgbClr val="93a9ce"/>
              </a:solidFill>
              <a:ln>
                <a:noFill/>
              </a:ln>
            </c:spPr>
          </c:dPt>
          <c:dLbls>
            <c:dLbl>
              <c:idx val="0"/>
              <c:dLblPos val="bestFit"/>
              <c:showLegendKey val="0"/>
              <c:showVal val="1"/>
              <c:showCatName val="0"/>
              <c:showSerName val="0"/>
              <c:showPercent val="0"/>
              <c:separator>; </c:separator>
            </c:dLbl>
            <c:dLbl>
              <c:idx val="1"/>
              <c:dLblPos val="bestFit"/>
              <c:showLegendKey val="0"/>
              <c:showVal val="1"/>
              <c:showCatName val="0"/>
              <c:showSerName val="0"/>
              <c:showPercent val="0"/>
              <c:separator>; </c:separator>
            </c:dLbl>
            <c:dLbl>
              <c:idx val="2"/>
              <c:dLblPos val="bestFit"/>
              <c:showLegendKey val="0"/>
              <c:showVal val="1"/>
              <c:showCatName val="0"/>
              <c:showSerName val="0"/>
              <c:showPercent val="0"/>
              <c:separator>; </c:separator>
            </c:dLbl>
            <c:dLbl>
              <c:idx val="3"/>
              <c:dLblPos val="bestFit"/>
              <c:showLegendKey val="0"/>
              <c:showVal val="1"/>
              <c:showCatName val="0"/>
              <c:showSerName val="0"/>
              <c:showPercent val="0"/>
              <c:separator>; </c:separator>
            </c:dLbl>
            <c:dLbl>
              <c:idx val="4"/>
              <c:dLblPos val="bestFit"/>
              <c:showLegendKey val="0"/>
              <c:showVal val="1"/>
              <c:showCatName val="0"/>
              <c:showSerName val="0"/>
              <c:showPercent val="0"/>
              <c:separator>; </c:separator>
            </c:dLbl>
            <c:dLbl>
              <c:idx val="5"/>
              <c:dLblPos val="bestFit"/>
              <c:showLegendKey val="0"/>
              <c:showVal val="1"/>
              <c:showCatName val="0"/>
              <c:showSerName val="0"/>
              <c:showPercent val="0"/>
              <c:separator>; </c:separator>
            </c:dLbl>
            <c:dLbl>
              <c:idx val="6"/>
              <c:dLblPos val="bestFit"/>
              <c:showLegendKey val="0"/>
              <c:showVal val="1"/>
              <c:showCatName val="0"/>
              <c:showSerName val="0"/>
              <c:showPercent val="0"/>
              <c:separator>; </c:separator>
            </c:dLbl>
            <c:showLegendKey val="0"/>
            <c:showVal val="1"/>
            <c:showCatName val="0"/>
            <c:showSerName val="0"/>
            <c:showPercent val="0"/>
          </c:dLbls>
          <c:cat>
            <c:strRef>
              <c:f>categories</c:f>
              <c:strCache>
                <c:ptCount val="7"/>
                <c:pt idx="0">
                  <c:v>Charbon</c:v>
                </c:pt>
                <c:pt idx="1">
                  <c:v>Lignite</c:v>
                </c:pt>
                <c:pt idx="2">
                  <c:v>Pétrole</c:v>
                </c:pt>
                <c:pt idx="3">
                  <c:v>Gaz</c:v>
                </c:pt>
                <c:pt idx="4">
                  <c:v>Nucléaire</c:v>
                </c:pt>
                <c:pt idx="5">
                  <c:v>ENR</c:v>
                </c:pt>
                <c:pt idx="6">
                  <c:v/>
                </c:pt>
              </c:strCache>
            </c:strRef>
          </c:cat>
          <c:val>
            <c:numRef>
              <c:f>8</c:f>
              <c:numCache>
                <c:formatCode>General</c:formatCode>
                <c:ptCount val="7"/>
                <c:pt idx="0">
                  <c:v>1</c:v>
                </c:pt>
                <c:pt idx="1">
                  <c:v/>
                </c:pt>
                <c:pt idx="2">
                  <c:v/>
                </c:pt>
                <c:pt idx="3">
                  <c:v/>
                </c:pt>
                <c:pt idx="4">
                  <c:v/>
                </c:pt>
                <c:pt idx="5">
                  <c:v/>
                </c:pt>
                <c:pt idx="6">
                  <c:v/>
                </c:pt>
              </c:numCache>
            </c:numRef>
          </c:val>
        </c:ser>
        <c:firstSliceAng val="0"/>
      </c:pieChart>
      <c:spPr>
        <a:solidFill>
          <a:srgbClr val="ffffff"/>
        </a:solidFill>
        <a:ln>
          <a:noFill/>
        </a:ln>
      </c:spPr>
    </c:plotArea>
    <c:plotVisOnly val="1"/>
  </c:chart>
  <c:spPr>
    <a:noFill/>
    <a:ln>
      <a:noFill/>
    </a:ln>
  </c:spPr>
</c:chartSpace>
</file>

<file path=word/charts/chart10.xml><?xml version="1.0" encoding="utf-8"?>
<c:chartSpace xmlns:c="http://schemas.openxmlformats.org/drawingml/2006/chart" xmlns:a="http://schemas.openxmlformats.org/drawingml/2006/main" xmlns:r="http://schemas.openxmlformats.org/officeDocument/2006/relationships">
  <c:lang val="en-US"/>
  <c:chart>
    <c:plotArea>
      <c:layout/>
      <c:pieChart>
        <c:varyColors val="1"/>
        <c:ser>
          <c:idx val="0"/>
          <c:order val="0"/>
          <c:tx>
            <c:strRef>
              <c:f>label 0</c:f>
              <c:strCache>
                <c:ptCount val="1"/>
                <c:pt idx="0">
                  <c:v/>
                </c:pt>
              </c:strCache>
            </c:strRef>
          </c:tx>
          <c:spPr>
            <a:solidFill>
              <a:srgbClr val="4f81bd"/>
            </a:solidFill>
            <a:ln>
              <a:noFill/>
            </a:ln>
          </c:spPr>
          <c:explosion val="0"/>
          <c:dPt>
            <c:idx val="0"/>
            <c:spPr>
              <a:solidFill>
                <a:srgbClr val="4672a8"/>
              </a:solidFill>
              <a:ln>
                <a:noFill/>
              </a:ln>
            </c:spPr>
          </c:dPt>
          <c:dPt>
            <c:idx val="1"/>
            <c:spPr>
              <a:solidFill>
                <a:srgbClr val="ab4744"/>
              </a:solidFill>
              <a:ln>
                <a:noFill/>
              </a:ln>
            </c:spPr>
          </c:dPt>
          <c:dPt>
            <c:idx val="2"/>
            <c:spPr>
              <a:solidFill>
                <a:srgbClr val="8aa64f"/>
              </a:solidFill>
              <a:ln>
                <a:noFill/>
              </a:ln>
            </c:spPr>
          </c:dPt>
          <c:dPt>
            <c:idx val="3"/>
            <c:spPr>
              <a:solidFill>
                <a:srgbClr val="725990"/>
              </a:solidFill>
              <a:ln>
                <a:noFill/>
              </a:ln>
            </c:spPr>
          </c:dPt>
          <c:dPt>
            <c:idx val="4"/>
            <c:spPr>
              <a:solidFill>
                <a:srgbClr val="4299b0"/>
              </a:solidFill>
              <a:ln>
                <a:noFill/>
              </a:ln>
            </c:spPr>
          </c:dPt>
          <c:dPt>
            <c:idx val="5"/>
            <c:spPr>
              <a:solidFill>
                <a:srgbClr val="dc853e"/>
              </a:solidFill>
              <a:ln>
                <a:noFill/>
              </a:ln>
            </c:spPr>
          </c:dPt>
          <c:dPt>
            <c:idx val="6"/>
            <c:spPr>
              <a:solidFill>
                <a:srgbClr val="93a9ce"/>
              </a:solidFill>
              <a:ln>
                <a:noFill/>
              </a:ln>
            </c:spPr>
          </c:dPt>
          <c:dLbls>
            <c:dLbl>
              <c:idx val="0"/>
              <c:dLblPos val="r"/>
              <c:showLegendKey val="0"/>
              <c:showVal val="0"/>
              <c:showCatName val="1"/>
              <c:showSerName val="0"/>
              <c:showPercent val="1"/>
              <c:separator> </c:separator>
            </c:dLbl>
            <c:dLbl>
              <c:idx val="1"/>
              <c:dLblPos val="t"/>
              <c:showLegendKey val="0"/>
              <c:showVal val="0"/>
              <c:showCatName val="1"/>
              <c:showSerName val="0"/>
              <c:showPercent val="1"/>
              <c:separator> </c:separator>
            </c:dLbl>
            <c:dLbl>
              <c:idx val="2"/>
              <c:dLblPos/>
              <c:showLegendKey val="0"/>
              <c:showVal val="0"/>
              <c:showCatName val="1"/>
              <c:showSerName val="0"/>
              <c:showPercent val="1"/>
              <c:separator> </c:separator>
            </c:dLbl>
            <c:dLbl>
              <c:idx val="3"/>
              <c:dLblPos val="b"/>
              <c:showLegendKey val="0"/>
              <c:showVal val="0"/>
              <c:showCatName val="1"/>
              <c:showSerName val="0"/>
              <c:showPercent val="1"/>
              <c:separator> </c:separator>
            </c:dLbl>
            <c:dLbl>
              <c:idx val="4"/>
              <c:dLblPos/>
              <c:showLegendKey val="0"/>
              <c:showVal val="0"/>
              <c:showCatName val="1"/>
              <c:showSerName val="0"/>
              <c:showPercent val="1"/>
              <c:separator> </c:separator>
            </c:dLbl>
            <c:dLbl>
              <c:idx val="5"/>
              <c:dLblPos val="l"/>
              <c:showLegendKey val="0"/>
              <c:showVal val="0"/>
              <c:showCatName val="1"/>
              <c:showSerName val="0"/>
              <c:showPercent val="1"/>
              <c:separator> </c:separator>
            </c:dLbl>
            <c:dLbl>
              <c:idx val="6"/>
              <c:dLblPos val="r"/>
              <c:showLegendKey val="0"/>
              <c:showVal val="0"/>
              <c:showCatName val="1"/>
              <c:showSerName val="0"/>
              <c:showPercent val="1"/>
              <c:separator> </c:separator>
            </c:dLbl>
            <c:showLegendKey val="0"/>
            <c:showVal val="0"/>
            <c:showCatName val="1"/>
            <c:showSerName val="0"/>
            <c:showPercent val="1"/>
          </c:dLbls>
          <c:cat>
            <c:strRef>
              <c:f>categories</c:f>
              <c:strCache>
                <c:ptCount val="7"/>
                <c:pt idx="0">
                  <c:v>Charbon</c:v>
                </c:pt>
                <c:pt idx="1">
                  <c:v>Pétrole</c:v>
                </c:pt>
                <c:pt idx="2">
                  <c:v>Gaz</c:v>
                </c:pt>
                <c:pt idx="3">
                  <c:v>Electricité (N )</c:v>
                </c:pt>
                <c:pt idx="4">
                  <c:v>Electricité (H + autres ENR)</c:v>
                </c:pt>
                <c:pt idx="5">
                  <c:v>Biomasse</c:v>
                </c:pt>
                <c:pt idx="6">
                  <c:v>Autres ENR Thermique</c:v>
                </c:pt>
              </c:strCache>
            </c:strRef>
          </c:cat>
          <c:val>
            <c:numRef>
              <c:f>3</c:f>
              <c:numCache>
                <c:formatCode>General</c:formatCode>
                <c:ptCount val="7"/>
                <c:pt idx="0">
                  <c:v>0.0338389731621937</c:v>
                </c:pt>
                <c:pt idx="1">
                  <c:v>0.302605989887203</c:v>
                </c:pt>
                <c:pt idx="2">
                  <c:v>0.135355892648775</c:v>
                </c:pt>
                <c:pt idx="3">
                  <c:v>0.442629327110074</c:v>
                </c:pt>
                <c:pt idx="4">
                  <c:v>0.0303383897316219</c:v>
                </c:pt>
                <c:pt idx="5">
                  <c:v>0.0470633994554648</c:v>
                </c:pt>
                <c:pt idx="6">
                  <c:v>0.00816802800466745</c:v>
                </c:pt>
              </c:numCache>
            </c:numRef>
          </c:val>
        </c:ser>
        <c:firstSliceAng val="0"/>
      </c:pieChart>
      <c:spPr>
        <a:solidFill>
          <a:srgbClr val="ffffff"/>
        </a:solidFill>
        <a:ln>
          <a:noFill/>
        </a:ln>
      </c:spPr>
    </c:plotArea>
    <c:plotVisOnly val="1"/>
  </c:chart>
  <c:spPr>
    <a:noFill/>
    <a:ln>
      <a:noFill/>
    </a:ln>
  </c:spPr>
</c:chartSpace>
</file>

<file path=word/charts/chart11.xml><?xml version="1.0" encoding="utf-8"?>
<c:chartSpace xmlns:c="http://schemas.openxmlformats.org/drawingml/2006/chart" xmlns:a="http://schemas.openxmlformats.org/drawingml/2006/main" xmlns:r="http://schemas.openxmlformats.org/officeDocument/2006/relationships">
  <c:lang val="en-US"/>
  <c:chart>
    <c:plotArea>
      <c:layout/>
      <c:pieChart>
        <c:varyColors val="1"/>
        <c:ser>
          <c:idx val="0"/>
          <c:order val="0"/>
          <c:tx>
            <c:strRef>
              <c:f>label 0</c:f>
              <c:strCache>
                <c:ptCount val="1"/>
                <c:pt idx="0">
                  <c:v/>
                </c:pt>
              </c:strCache>
            </c:strRef>
          </c:tx>
          <c:spPr>
            <a:solidFill>
              <a:srgbClr val="4f81bd"/>
            </a:solidFill>
            <a:ln>
              <a:noFill/>
            </a:ln>
          </c:spPr>
          <c:explosion val="0"/>
          <c:dPt>
            <c:idx val="0"/>
            <c:spPr>
              <a:solidFill>
                <a:srgbClr val="4672a8"/>
              </a:solidFill>
              <a:ln>
                <a:noFill/>
              </a:ln>
            </c:spPr>
          </c:dPt>
          <c:dPt>
            <c:idx val="1"/>
            <c:spPr>
              <a:solidFill>
                <a:srgbClr val="ab4744"/>
              </a:solidFill>
              <a:ln>
                <a:noFill/>
              </a:ln>
            </c:spPr>
          </c:dPt>
          <c:dPt>
            <c:idx val="2"/>
            <c:spPr>
              <a:solidFill>
                <a:srgbClr val="8aa64f"/>
              </a:solidFill>
              <a:ln>
                <a:noFill/>
              </a:ln>
            </c:spPr>
          </c:dPt>
          <c:dPt>
            <c:idx val="3"/>
            <c:spPr>
              <a:solidFill>
                <a:srgbClr val="725990"/>
              </a:solidFill>
              <a:ln>
                <a:noFill/>
              </a:ln>
            </c:spPr>
          </c:dPt>
          <c:dPt>
            <c:idx val="4"/>
            <c:spPr>
              <a:solidFill>
                <a:srgbClr val="4299b0"/>
              </a:solidFill>
              <a:ln>
                <a:noFill/>
              </a:ln>
            </c:spPr>
          </c:dPt>
          <c:dPt>
            <c:idx val="5"/>
            <c:spPr>
              <a:solidFill>
                <a:srgbClr val="dc853e"/>
              </a:solidFill>
              <a:ln>
                <a:noFill/>
              </a:ln>
            </c:spPr>
          </c:dPt>
          <c:dPt>
            <c:idx val="6"/>
            <c:spPr>
              <a:solidFill>
                <a:srgbClr val="93a9ce"/>
              </a:solidFill>
              <a:ln>
                <a:noFill/>
              </a:ln>
            </c:spPr>
          </c:dPt>
          <c:dPt>
            <c:idx val="7"/>
            <c:spPr>
              <a:solidFill>
                <a:srgbClr val="d09493"/>
              </a:solidFill>
              <a:ln>
                <a:noFill/>
              </a:ln>
            </c:spPr>
          </c:dPt>
          <c:dPt>
            <c:idx val="8"/>
            <c:spPr>
              <a:solidFill>
                <a:srgbClr val="b8cd97"/>
              </a:solidFill>
              <a:ln>
                <a:noFill/>
              </a:ln>
            </c:spPr>
          </c:dPt>
          <c:dPt>
            <c:idx val="9"/>
            <c:spPr>
              <a:solidFill>
                <a:srgbClr val="a99bbd"/>
              </a:solidFill>
              <a:ln>
                <a:noFill/>
              </a:ln>
            </c:spPr>
          </c:dPt>
          <c:dPt>
            <c:idx val="10"/>
            <c:spPr>
              <a:solidFill>
                <a:srgbClr val="92c3d5"/>
              </a:solidFill>
              <a:ln>
                <a:noFill/>
              </a:ln>
            </c:spPr>
          </c:dPt>
          <c:dPt>
            <c:idx val="11"/>
            <c:spPr>
              <a:solidFill>
                <a:srgbClr val="f8b590"/>
              </a:solidFill>
              <a:ln>
                <a:noFill/>
              </a:ln>
            </c:spPr>
          </c:dPt>
          <c:dLbls>
            <c:dLbl>
              <c:idx val="0"/>
              <c:dLblPos val="r"/>
              <c:showLegendKey val="0"/>
              <c:showVal val="0"/>
              <c:showCatName val="1"/>
              <c:showSerName val="0"/>
              <c:showPercent val="1"/>
              <c:separator> </c:separator>
            </c:dLbl>
            <c:dLbl>
              <c:idx val="1"/>
              <c:dLblPos val="r"/>
              <c:showLegendKey val="0"/>
              <c:showVal val="0"/>
              <c:showCatName val="1"/>
              <c:showSerName val="0"/>
              <c:showPercent val="1"/>
              <c:separator> </c:separator>
            </c:dLbl>
            <c:dLbl>
              <c:idx val="2"/>
              <c:dLblPos val="r"/>
              <c:showLegendKey val="0"/>
              <c:showVal val="0"/>
              <c:showCatName val="1"/>
              <c:showSerName val="0"/>
              <c:showPercent val="1"/>
              <c:separator> </c:separator>
            </c:dLbl>
            <c:dLbl>
              <c:idx val="3"/>
              <c:dLblPos/>
              <c:showLegendKey val="0"/>
              <c:showVal val="0"/>
              <c:showCatName val="1"/>
              <c:showSerName val="0"/>
              <c:showPercent val="1"/>
              <c:separator> </c:separator>
            </c:dLbl>
            <c:dLbl>
              <c:idx val="4"/>
              <c:dLblPos val="bestFit"/>
              <c:showLegendKey val="0"/>
              <c:showVal val="0"/>
              <c:showCatName val="1"/>
              <c:showSerName val="0"/>
              <c:showPercent val="1"/>
              <c:separator> </c:separator>
            </c:dLbl>
            <c:dLbl>
              <c:idx val="5"/>
              <c:dLblPos val="l"/>
              <c:showLegendKey val="0"/>
              <c:showVal val="0"/>
              <c:showCatName val="1"/>
              <c:showSerName val="0"/>
              <c:showPercent val="1"/>
              <c:separator> </c:separator>
            </c:dLbl>
            <c:dLbl>
              <c:idx val="6"/>
              <c:dLblPos/>
              <c:showLegendKey val="0"/>
              <c:showVal val="0"/>
              <c:showCatName val="1"/>
              <c:showSerName val="0"/>
              <c:showPercent val="1"/>
              <c:separator> </c:separator>
            </c:dLbl>
            <c:dLbl>
              <c:idx val="7"/>
              <c:dLblPos/>
              <c:showLegendKey val="0"/>
              <c:showVal val="0"/>
              <c:showCatName val="1"/>
              <c:showSerName val="0"/>
              <c:showPercent val="1"/>
              <c:separator> </c:separator>
            </c:dLbl>
            <c:dLbl>
              <c:idx val="8"/>
              <c:dLblPos/>
              <c:showLegendKey val="0"/>
              <c:showVal val="0"/>
              <c:showCatName val="1"/>
              <c:showSerName val="0"/>
              <c:showPercent val="1"/>
              <c:separator> </c:separator>
            </c:dLbl>
            <c:dLbl>
              <c:idx val="9"/>
              <c:dLblPos val="t"/>
              <c:showLegendKey val="0"/>
              <c:showVal val="0"/>
              <c:showCatName val="1"/>
              <c:showSerName val="0"/>
              <c:showPercent val="1"/>
              <c:separator> </c:separator>
            </c:dLbl>
            <c:dLbl>
              <c:idx val="10"/>
              <c:dLblPos val="bestFit"/>
              <c:showLegendKey val="0"/>
              <c:showVal val="0"/>
              <c:showCatName val="1"/>
              <c:showSerName val="0"/>
              <c:showPercent val="1"/>
              <c:separator> </c:separator>
            </c:dLbl>
            <c:dLbl>
              <c:idx val="11"/>
              <c:dLblPos/>
              <c:showLegendKey val="0"/>
              <c:showVal val="0"/>
              <c:showCatName val="1"/>
              <c:showSerName val="0"/>
              <c:showPercent val="1"/>
              <c:separator> </c:separator>
            </c:dLbl>
            <c:showLegendKey val="0"/>
            <c:showVal val="0"/>
            <c:showCatName val="1"/>
            <c:showSerName val="0"/>
            <c:showPercent val="1"/>
          </c:dLbls>
          <c:cat>
            <c:strRef>
              <c:f>categories</c:f>
              <c:strCache>
                <c:ptCount val="12"/>
                <c:pt idx="0">
                  <c:v>Hydraulique</c:v>
                </c:pt>
                <c:pt idx="1">
                  <c:v>Eolien</c:v>
                </c:pt>
                <c:pt idx="2">
                  <c:v>Photovoltaïque</c:v>
                </c:pt>
                <c:pt idx="3">
                  <c:v>Géothermie électrique</c:v>
                </c:pt>
                <c:pt idx="4">
                  <c:v>Bois énergie</c:v>
                </c:pt>
                <c:pt idx="5">
                  <c:v>Agrocarburants</c:v>
                </c:pt>
                <c:pt idx="6">
                  <c:v>Pompes à chaleur</c:v>
                </c:pt>
                <c:pt idx="7">
                  <c:v>Déchets urbains</c:v>
                </c:pt>
                <c:pt idx="8">
                  <c:v>Résidus agricoles</c:v>
                </c:pt>
                <c:pt idx="9">
                  <c:v>Biogaz</c:v>
                </c:pt>
                <c:pt idx="10">
                  <c:v>Solaire thermique</c:v>
                </c:pt>
                <c:pt idx="11">
                  <c:v>Géothermie thermique</c:v>
                </c:pt>
              </c:strCache>
            </c:strRef>
          </c:cat>
          <c:val>
            <c:numRef>
              <c:f>3</c:f>
              <c:numCache>
                <c:formatCode>General</c:formatCode>
                <c:ptCount val="12"/>
                <c:pt idx="0">
                  <c:v>0.235555555555556</c:v>
                </c:pt>
                <c:pt idx="1">
                  <c:v>0.0666666666666667</c:v>
                </c:pt>
                <c:pt idx="2">
                  <c:v>0.0244444444444444</c:v>
                </c:pt>
                <c:pt idx="3">
                  <c:v>0.00222222222222222</c:v>
                </c:pt>
                <c:pt idx="4">
                  <c:v>0.391111111111111</c:v>
                </c:pt>
                <c:pt idx="5">
                  <c:v>0.115555555555556</c:v>
                </c:pt>
                <c:pt idx="6">
                  <c:v>0.0666666666666667</c:v>
                </c:pt>
                <c:pt idx="7">
                  <c:v>0.0488888888888889</c:v>
                </c:pt>
                <c:pt idx="8">
                  <c:v>0.0133333333333333</c:v>
                </c:pt>
                <c:pt idx="9">
                  <c:v>0.0222222222222222</c:v>
                </c:pt>
                <c:pt idx="10">
                  <c:v>0.00444444444444444</c:v>
                </c:pt>
                <c:pt idx="11">
                  <c:v>0.00888888888888889</c:v>
                </c:pt>
              </c:numCache>
            </c:numRef>
          </c:val>
        </c:ser>
        <c:firstSliceAng val="0"/>
      </c:pieChart>
      <c:spPr>
        <a:solidFill>
          <a:srgbClr val="ffffff"/>
        </a:solidFill>
        <a:ln>
          <a:noFill/>
        </a:ln>
      </c:spPr>
    </c:plotArea>
    <c:plotVisOnly val="1"/>
  </c:chart>
  <c:spPr>
    <a:noFill/>
    <a:ln>
      <a:noFill/>
    </a:ln>
  </c:spPr>
</c:chartSpace>
</file>

<file path=word/charts/chart12.xml><?xml version="1.0" encoding="utf-8"?>
<c:chartSpace xmlns:c="http://schemas.openxmlformats.org/drawingml/2006/chart" xmlns:a="http://schemas.openxmlformats.org/drawingml/2006/main" xmlns:r="http://schemas.openxmlformats.org/officeDocument/2006/relationships">
  <c:lang val="en-US"/>
  <c:chart>
    <c:plotArea>
      <c:layout/>
      <c:pieChart>
        <c:varyColors val="1"/>
        <c:ser>
          <c:idx val="0"/>
          <c:order val="0"/>
          <c:tx>
            <c:strRef>
              <c:f>label 0</c:f>
              <c:strCache>
                <c:ptCount val="1"/>
                <c:pt idx="0">
                  <c:v/>
                </c:pt>
              </c:strCache>
            </c:strRef>
          </c:tx>
          <c:spPr>
            <a:solidFill>
              <a:srgbClr val="4f81bd"/>
            </a:solidFill>
            <a:ln>
              <a:noFill/>
            </a:ln>
          </c:spPr>
          <c:explosion val="0"/>
          <c:dPt>
            <c:idx val="0"/>
            <c:spPr>
              <a:solidFill>
                <a:srgbClr val="4f81bd"/>
              </a:solidFill>
              <a:ln>
                <a:noFill/>
              </a:ln>
            </c:spPr>
          </c:dPt>
          <c:dPt>
            <c:idx val="1"/>
            <c:spPr>
              <a:solidFill>
                <a:srgbClr val="c0504d"/>
              </a:solidFill>
              <a:ln>
                <a:noFill/>
              </a:ln>
            </c:spPr>
          </c:dPt>
          <c:dPt>
            <c:idx val="2"/>
            <c:spPr>
              <a:solidFill>
                <a:srgbClr val="9bbb59"/>
              </a:solidFill>
              <a:ln>
                <a:noFill/>
              </a:ln>
            </c:spPr>
          </c:dPt>
          <c:dPt>
            <c:idx val="3"/>
            <c:spPr>
              <a:solidFill>
                <a:srgbClr val="8064a2"/>
              </a:solidFill>
              <a:ln>
                <a:noFill/>
              </a:ln>
            </c:spPr>
          </c:dPt>
          <c:dPt>
            <c:idx val="4"/>
            <c:spPr>
              <a:solidFill>
                <a:srgbClr val="4bacc6"/>
              </a:solidFill>
              <a:ln>
                <a:noFill/>
              </a:ln>
            </c:spPr>
          </c:dPt>
          <c:dPt>
            <c:idx val="5"/>
            <c:spPr>
              <a:solidFill>
                <a:srgbClr val="f79646"/>
              </a:solidFill>
              <a:ln>
                <a:noFill/>
              </a:ln>
            </c:spPr>
          </c:dPt>
          <c:dLbls>
            <c:dLbl>
              <c:idx val="0"/>
              <c:dLblPos val="r"/>
              <c:showLegendKey val="0"/>
              <c:showVal val="0"/>
              <c:showCatName val="1"/>
              <c:showSerName val="0"/>
              <c:showPercent val="1"/>
              <c:separator> </c:separator>
            </c:dLbl>
            <c:dLbl>
              <c:idx val="1"/>
              <c:dLblPos/>
              <c:showLegendKey val="0"/>
              <c:showVal val="0"/>
              <c:showCatName val="1"/>
              <c:showSerName val="0"/>
              <c:showPercent val="1"/>
              <c:separator> </c:separator>
            </c:dLbl>
            <c:dLbl>
              <c:idx val="2"/>
              <c:dLblPos val="l"/>
              <c:showLegendKey val="0"/>
              <c:showVal val="0"/>
              <c:showCatName val="1"/>
              <c:showSerName val="0"/>
              <c:showPercent val="1"/>
              <c:separator> </c:separator>
            </c:dLbl>
            <c:dLbl>
              <c:idx val="3"/>
              <c:dLblPos/>
              <c:showLegendKey val="0"/>
              <c:showVal val="0"/>
              <c:showCatName val="1"/>
              <c:showSerName val="0"/>
              <c:showPercent val="1"/>
              <c:separator> </c:separator>
            </c:dLbl>
            <c:dLbl>
              <c:idx val="4"/>
              <c:dLblPos/>
              <c:showLegendKey val="0"/>
              <c:showVal val="0"/>
              <c:showCatName val="1"/>
              <c:showSerName val="0"/>
              <c:showPercent val="1"/>
              <c:separator> </c:separator>
            </c:dLbl>
            <c:dLbl>
              <c:idx val="5"/>
              <c:dLblPos val="l"/>
              <c:showLegendKey val="0"/>
              <c:showVal val="0"/>
              <c:showCatName val="1"/>
              <c:showSerName val="0"/>
              <c:showPercent val="1"/>
              <c:separator> </c:separator>
            </c:dLbl>
            <c:showLegendKey val="0"/>
            <c:showVal val="0"/>
            <c:showCatName val="1"/>
            <c:showSerName val="0"/>
            <c:showPercent val="1"/>
          </c:dLbls>
          <c:cat>
            <c:strRef>
              <c:f>categories</c:f>
              <c:strCache>
                <c:ptCount val="6"/>
                <c:pt idx="0">
                  <c:v>Biomasse</c:v>
                </c:pt>
                <c:pt idx="1">
                  <c:v>Pétrole</c:v>
                </c:pt>
                <c:pt idx="2">
                  <c:v>Charbon</c:v>
                </c:pt>
                <c:pt idx="3">
                  <c:v>Gaz</c:v>
                </c:pt>
                <c:pt idx="4">
                  <c:v>Electricité (T+H+N+ENR)</c:v>
                </c:pt>
                <c:pt idx="5">
                  <c:v>Autres ENR</c:v>
                </c:pt>
              </c:strCache>
            </c:strRef>
          </c:cat>
          <c:val>
            <c:numRef>
              <c:f>3</c:f>
              <c:numCache>
                <c:formatCode>General</c:formatCode>
                <c:ptCount val="6"/>
                <c:pt idx="0">
                  <c:v>0.0609756097560976</c:v>
                </c:pt>
                <c:pt idx="1">
                  <c:v>0.447560975609756</c:v>
                </c:pt>
                <c:pt idx="2">
                  <c:v>0.0341463414634146</c:v>
                </c:pt>
                <c:pt idx="3">
                  <c:v>0.198170731707317</c:v>
                </c:pt>
                <c:pt idx="4">
                  <c:v>0.224390243902439</c:v>
                </c:pt>
                <c:pt idx="5">
                  <c:v>0.0347560975609756</c:v>
                </c:pt>
              </c:numCache>
            </c:numRef>
          </c:val>
        </c:ser>
        <c:firstSliceAng val="0"/>
      </c:pieChart>
      <c:spPr>
        <a:solidFill>
          <a:srgbClr val="ffffff"/>
        </a:solidFill>
        <a:ln>
          <a:noFill/>
        </a:ln>
      </c:spPr>
    </c:plotArea>
    <c:plotVisOnly val="1"/>
  </c:chart>
  <c:spPr>
    <a:noFill/>
    <a:ln>
      <a:noFill/>
    </a:ln>
  </c:spPr>
</c:chartSpace>
</file>

<file path=word/charts/chart13.xml><?xml version="1.0" encoding="utf-8"?>
<c:chartSpace xmlns:c="http://schemas.openxmlformats.org/drawingml/2006/chart" xmlns:a="http://schemas.openxmlformats.org/drawingml/2006/main" xmlns:r="http://schemas.openxmlformats.org/officeDocument/2006/relationships">
  <c:lang val="en-US"/>
  <c:chart>
    <c:plotArea>
      <c:layout/>
      <c:pieChart>
        <c:varyColors val="1"/>
        <c:ser>
          <c:idx val="0"/>
          <c:order val="0"/>
          <c:tx>
            <c:strRef>
              <c:f>label 0</c:f>
              <c:strCache>
                <c:ptCount val="1"/>
                <c:pt idx="0">
                  <c:v/>
                </c:pt>
              </c:strCache>
            </c:strRef>
          </c:tx>
          <c:spPr>
            <a:solidFill>
              <a:srgbClr val="4f81bd"/>
            </a:solidFill>
            <a:ln>
              <a:noFill/>
            </a:ln>
          </c:spPr>
          <c:explosion val="0"/>
          <c:dPt>
            <c:idx val="0"/>
            <c:spPr>
              <a:solidFill>
                <a:srgbClr val="4f81bd"/>
              </a:solidFill>
              <a:ln>
                <a:noFill/>
              </a:ln>
            </c:spPr>
          </c:dPt>
          <c:dPt>
            <c:idx val="1"/>
            <c:spPr>
              <a:solidFill>
                <a:srgbClr val="c0504d"/>
              </a:solidFill>
              <a:ln>
                <a:noFill/>
              </a:ln>
            </c:spPr>
          </c:dPt>
          <c:dPt>
            <c:idx val="2"/>
            <c:spPr>
              <a:solidFill>
                <a:srgbClr val="9bbb59"/>
              </a:solidFill>
              <a:ln>
                <a:noFill/>
              </a:ln>
            </c:spPr>
          </c:dPt>
          <c:dPt>
            <c:idx val="3"/>
            <c:spPr>
              <a:solidFill>
                <a:srgbClr val="8064a2"/>
              </a:solidFill>
              <a:ln>
                <a:noFill/>
              </a:ln>
            </c:spPr>
          </c:dPt>
          <c:dPt>
            <c:idx val="4"/>
            <c:spPr>
              <a:solidFill>
                <a:srgbClr val="4bacc6"/>
              </a:solidFill>
              <a:ln>
                <a:noFill/>
              </a:ln>
            </c:spPr>
          </c:dPt>
          <c:dPt>
            <c:idx val="5"/>
            <c:spPr>
              <a:solidFill>
                <a:srgbClr val="f79646"/>
              </a:solidFill>
              <a:ln>
                <a:noFill/>
              </a:ln>
            </c:spPr>
          </c:dPt>
          <c:dLbls>
            <c:dLbl>
              <c:idx val="0"/>
              <c:dLblPos/>
              <c:showLegendKey val="0"/>
              <c:showVal val="0"/>
              <c:showCatName val="1"/>
              <c:showSerName val="0"/>
              <c:showPercent val="1"/>
              <c:separator> </c:separator>
            </c:dLbl>
            <c:dLbl>
              <c:idx val="1"/>
              <c:dLblPos/>
              <c:showLegendKey val="0"/>
              <c:showVal val="0"/>
              <c:showCatName val="1"/>
              <c:showSerName val="0"/>
              <c:showPercent val="1"/>
              <c:separator> </c:separator>
            </c:dLbl>
            <c:dLbl>
              <c:idx val="2"/>
              <c:dLblPos/>
              <c:showLegendKey val="0"/>
              <c:showVal val="0"/>
              <c:showCatName val="1"/>
              <c:showSerName val="0"/>
              <c:showPercent val="1"/>
              <c:separator> </c:separator>
            </c:dLbl>
            <c:dLbl>
              <c:idx val="3"/>
              <c:dLblPos val="l"/>
              <c:showLegendKey val="0"/>
              <c:showVal val="0"/>
              <c:showCatName val="1"/>
              <c:showSerName val="0"/>
              <c:showPercent val="1"/>
              <c:separator> </c:separator>
            </c:dLbl>
            <c:dLbl>
              <c:idx val="4"/>
              <c:dLblPos val="l"/>
              <c:showLegendKey val="0"/>
              <c:showVal val="0"/>
              <c:showCatName val="1"/>
              <c:showSerName val="0"/>
              <c:showPercent val="1"/>
              <c:separator> </c:separator>
            </c:dLbl>
            <c:dLbl>
              <c:idx val="5"/>
              <c:dLblPos val="l"/>
              <c:showLegendKey val="0"/>
              <c:showVal val="0"/>
              <c:showCatName val="1"/>
              <c:showSerName val="0"/>
              <c:showPercent val="1"/>
              <c:separator> </c:separator>
            </c:dLbl>
            <c:showLegendKey val="0"/>
            <c:showVal val="0"/>
            <c:showCatName val="1"/>
            <c:showSerName val="0"/>
            <c:showPercent val="1"/>
          </c:dLbls>
          <c:cat>
            <c:strRef>
              <c:f>categories</c:f>
              <c:strCache>
                <c:ptCount val="6"/>
                <c:pt idx="0">
                  <c:v>Résidentiel</c:v>
                </c:pt>
                <c:pt idx="1">
                  <c:v>Industrie</c:v>
                </c:pt>
                <c:pt idx="2">
                  <c:v>Transports</c:v>
                </c:pt>
                <c:pt idx="3">
                  <c:v>Agriculture</c:v>
                </c:pt>
                <c:pt idx="4">
                  <c:v>Tertiaire</c:v>
                </c:pt>
                <c:pt idx="5">
                  <c:v>Divers</c:v>
                </c:pt>
              </c:strCache>
            </c:strRef>
          </c:cat>
          <c:val>
            <c:numRef>
              <c:f>3</c:f>
              <c:numCache>
                <c:formatCode>General</c:formatCode>
                <c:ptCount val="6"/>
                <c:pt idx="0">
                  <c:v>0.282317073170732</c:v>
                </c:pt>
                <c:pt idx="1">
                  <c:v>0.175609756097561</c:v>
                </c:pt>
                <c:pt idx="2">
                  <c:v>0.297560975609756</c:v>
                </c:pt>
                <c:pt idx="3">
                  <c:v>0.0286585365853659</c:v>
                </c:pt>
                <c:pt idx="4">
                  <c:v>0.130487804878049</c:v>
                </c:pt>
                <c:pt idx="5">
                  <c:v>0.0853658536585366</c:v>
                </c:pt>
              </c:numCache>
            </c:numRef>
          </c:val>
        </c:ser>
        <c:firstSliceAng val="0"/>
      </c:pieChart>
      <c:spPr>
        <a:solidFill>
          <a:srgbClr val="ffffff"/>
        </a:solidFill>
        <a:ln>
          <a:noFill/>
        </a:ln>
      </c:spPr>
    </c:plotArea>
    <c:plotVisOnly val="1"/>
  </c:chart>
  <c:spPr>
    <a:noFill/>
    <a:ln>
      <a:noFill/>
    </a:ln>
  </c:spPr>
</c:chartSpace>
</file>

<file path=word/charts/chart14.xml><?xml version="1.0" encoding="utf-8"?>
<c:chartSpace xmlns:c="http://schemas.openxmlformats.org/drawingml/2006/chart" xmlns:a="http://schemas.openxmlformats.org/drawingml/2006/main" xmlns:r="http://schemas.openxmlformats.org/officeDocument/2006/relationships">
  <c:lang val="en-US"/>
  <c:chart>
    <c:plotArea>
      <c:layout/>
      <c:pieChart>
        <c:varyColors val="1"/>
        <c:ser>
          <c:idx val="0"/>
          <c:order val="0"/>
          <c:tx>
            <c:strRef>
              <c:f>label 0</c:f>
              <c:strCache>
                <c:ptCount val="1"/>
                <c:pt idx="0">
                  <c:v/>
                </c:pt>
              </c:strCache>
            </c:strRef>
          </c:tx>
          <c:spPr>
            <a:solidFill>
              <a:srgbClr val="4f81bd"/>
            </a:solidFill>
            <a:ln>
              <a:noFill/>
            </a:ln>
          </c:spPr>
          <c:explosion val="0"/>
          <c:dPt>
            <c:idx val="0"/>
            <c:spPr>
              <a:solidFill>
                <a:srgbClr val="4672a8"/>
              </a:solidFill>
              <a:ln>
                <a:noFill/>
              </a:ln>
            </c:spPr>
          </c:dPt>
          <c:dPt>
            <c:idx val="1"/>
            <c:spPr>
              <a:solidFill>
                <a:srgbClr val="ab4744"/>
              </a:solidFill>
              <a:ln>
                <a:noFill/>
              </a:ln>
            </c:spPr>
          </c:dPt>
          <c:dPt>
            <c:idx val="2"/>
            <c:spPr>
              <a:solidFill>
                <a:srgbClr val="8aa64f"/>
              </a:solidFill>
              <a:ln>
                <a:noFill/>
              </a:ln>
            </c:spPr>
          </c:dPt>
          <c:dPt>
            <c:idx val="3"/>
            <c:spPr>
              <a:solidFill>
                <a:srgbClr val="725990"/>
              </a:solidFill>
              <a:ln>
                <a:noFill/>
              </a:ln>
            </c:spPr>
          </c:dPt>
          <c:dPt>
            <c:idx val="4"/>
            <c:spPr>
              <a:solidFill>
                <a:srgbClr val="4299b0"/>
              </a:solidFill>
              <a:ln>
                <a:noFill/>
              </a:ln>
            </c:spPr>
          </c:dPt>
          <c:dPt>
            <c:idx val="5"/>
            <c:spPr>
              <a:solidFill>
                <a:srgbClr val="dc853e"/>
              </a:solidFill>
              <a:ln>
                <a:noFill/>
              </a:ln>
            </c:spPr>
          </c:dPt>
          <c:dPt>
            <c:idx val="6"/>
            <c:spPr>
              <a:solidFill>
                <a:srgbClr val="93a9ce"/>
              </a:solidFill>
              <a:ln>
                <a:noFill/>
              </a:ln>
            </c:spPr>
          </c:dPt>
          <c:dPt>
            <c:idx val="7"/>
            <c:spPr>
              <a:solidFill>
                <a:srgbClr val="d09493"/>
              </a:solidFill>
              <a:ln>
                <a:noFill/>
              </a:ln>
            </c:spPr>
          </c:dPt>
          <c:dLbls>
            <c:dLbl>
              <c:idx val="0"/>
              <c:dLblPos val="r"/>
              <c:showLegendKey val="0"/>
              <c:showVal val="0"/>
              <c:showCatName val="1"/>
              <c:showSerName val="0"/>
              <c:showPercent val="1"/>
              <c:separator>; </c:separator>
            </c:dLbl>
            <c:dLbl>
              <c:idx val="1"/>
              <c:dLblPos/>
              <c:showLegendKey val="0"/>
              <c:showVal val="0"/>
              <c:showCatName val="1"/>
              <c:showSerName val="0"/>
              <c:showPercent val="1"/>
              <c:separator>; </c:separator>
            </c:dLbl>
            <c:dLbl>
              <c:idx val="2"/>
              <c:dLblPos/>
              <c:showLegendKey val="0"/>
              <c:showVal val="0"/>
              <c:showCatName val="1"/>
              <c:showSerName val="0"/>
              <c:showPercent val="1"/>
              <c:separator>; </c:separator>
            </c:dLbl>
            <c:dLbl>
              <c:idx val="3"/>
              <c:dLblPos/>
              <c:showLegendKey val="0"/>
              <c:showVal val="0"/>
              <c:showCatName val="1"/>
              <c:showSerName val="0"/>
              <c:showPercent val="1"/>
              <c:separator>; </c:separator>
            </c:dLbl>
            <c:dLbl>
              <c:idx val="4"/>
              <c:dLblPos/>
              <c:showLegendKey val="0"/>
              <c:showVal val="0"/>
              <c:showCatName val="1"/>
              <c:showSerName val="0"/>
              <c:showPercent val="1"/>
              <c:separator>; </c:separator>
            </c:dLbl>
            <c:dLbl>
              <c:idx val="5"/>
              <c:dLblPos/>
              <c:showLegendKey val="0"/>
              <c:showVal val="0"/>
              <c:showCatName val="1"/>
              <c:showSerName val="0"/>
              <c:showPercent val="1"/>
              <c:separator>; </c:separator>
            </c:dLbl>
            <c:dLbl>
              <c:idx val="6"/>
              <c:dLblPos val="l"/>
              <c:showLegendKey val="0"/>
              <c:showVal val="0"/>
              <c:showCatName val="1"/>
              <c:showSerName val="0"/>
              <c:showPercent val="1"/>
              <c:separator>; </c:separator>
            </c:dLbl>
            <c:dLbl>
              <c:idx val="7"/>
              <c:dLblPos val="r"/>
              <c:showLegendKey val="0"/>
              <c:showVal val="0"/>
              <c:showCatName val="1"/>
              <c:showSerName val="0"/>
              <c:showPercent val="1"/>
              <c:separator>; </c:separator>
            </c:dLbl>
            <c:showLegendKey val="0"/>
            <c:showVal val="0"/>
            <c:showCatName val="1"/>
            <c:showSerName val="0"/>
            <c:showPercent val="1"/>
          </c:dLbls>
          <c:cat>
            <c:strRef>
              <c:f>categories</c:f>
              <c:strCache>
                <c:ptCount val="8"/>
                <c:pt idx="0">
                  <c:v>Nucléaire</c:v>
                </c:pt>
                <c:pt idx="1">
                  <c:v>Hydraulique</c:v>
                </c:pt>
                <c:pt idx="2">
                  <c:v>Gaz</c:v>
                </c:pt>
                <c:pt idx="3">
                  <c:v>Charbon</c:v>
                </c:pt>
                <c:pt idx="4">
                  <c:v>Pétrole</c:v>
                </c:pt>
                <c:pt idx="5">
                  <c:v>Eolien</c:v>
                </c:pt>
                <c:pt idx="6">
                  <c:v>Photovoltaïque</c:v>
                </c:pt>
                <c:pt idx="7">
                  <c:v>Thermique ENR</c:v>
                </c:pt>
              </c:strCache>
            </c:strRef>
          </c:cat>
          <c:val>
            <c:numRef>
              <c:f>3</c:f>
              <c:numCache>
                <c:formatCode>General</c:formatCode>
                <c:ptCount val="8"/>
                <c:pt idx="0">
                  <c:v>0.488206635217694</c:v>
                </c:pt>
                <c:pt idx="1">
                  <c:v>0.196589590905576</c:v>
                </c:pt>
                <c:pt idx="2">
                  <c:v>0.0843012914701106</c:v>
                </c:pt>
                <c:pt idx="3">
                  <c:v>0.0232541953445209</c:v>
                </c:pt>
                <c:pt idx="4">
                  <c:v>0.0668548449462532</c:v>
                </c:pt>
                <c:pt idx="5">
                  <c:v>0.079746345990256</c:v>
                </c:pt>
                <c:pt idx="6">
                  <c:v>0.0478771943391849</c:v>
                </c:pt>
                <c:pt idx="7">
                  <c:v>0.0131699017864048</c:v>
                </c:pt>
              </c:numCache>
            </c:numRef>
          </c:val>
        </c:ser>
        <c:firstSliceAng val="0"/>
      </c:pieChart>
      <c:spPr>
        <a:solidFill>
          <a:srgbClr val="ffffff"/>
        </a:solidFill>
        <a:ln>
          <a:noFill/>
        </a:ln>
      </c:spPr>
    </c:plotArea>
    <c:plotVisOnly val="1"/>
  </c:chart>
  <c:spPr>
    <a:noFill/>
    <a:ln>
      <a:noFill/>
    </a:ln>
  </c:spPr>
</c:chartSpace>
</file>

<file path=word/charts/chart1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b="1" sz="1400">
                <a:solidFill>
                  <a:srgbClr val="000000"/>
                </a:solidFill>
                <a:latin typeface="Arial"/>
              </a:rPr>
              <a:t>Production d'électricité %</a:t>
            </a:r>
          </a:p>
        </c:rich>
      </c:tx>
      <c:layout/>
    </c:title>
    <c:plotArea>
      <c:layout/>
      <c:pieChart>
        <c:varyColors val="1"/>
        <c:ser>
          <c:idx val="0"/>
          <c:order val="0"/>
          <c:tx>
            <c:strRef>
              <c:f>label 3</c:f>
              <c:strCache>
                <c:ptCount val="1"/>
                <c:pt idx="0">
                  <c:v>Production d'électricité</c:v>
                </c:pt>
              </c:strCache>
            </c:strRef>
          </c:tx>
          <c:spPr>
            <a:solidFill>
              <a:srgbClr val="4f81bd"/>
            </a:solidFill>
            <a:ln>
              <a:noFill/>
            </a:ln>
          </c:spPr>
          <c:explosion val="0"/>
          <c:dPt>
            <c:idx val="0"/>
            <c:spPr>
              <a:solidFill>
                <a:srgbClr val="4672a8"/>
              </a:solidFill>
              <a:ln>
                <a:noFill/>
              </a:ln>
            </c:spPr>
          </c:dPt>
          <c:dPt>
            <c:idx val="1"/>
            <c:spPr>
              <a:solidFill>
                <a:srgbClr val="ab4744"/>
              </a:solidFill>
              <a:ln>
                <a:noFill/>
              </a:ln>
            </c:spPr>
          </c:dPt>
          <c:dPt>
            <c:idx val="2"/>
            <c:spPr>
              <a:solidFill>
                <a:srgbClr val="8aa64f"/>
              </a:solidFill>
              <a:ln>
                <a:noFill/>
              </a:ln>
            </c:spPr>
          </c:dPt>
          <c:dPt>
            <c:idx val="3"/>
            <c:spPr>
              <a:solidFill>
                <a:srgbClr val="725990"/>
              </a:solidFill>
              <a:ln>
                <a:noFill/>
              </a:ln>
            </c:spPr>
          </c:dPt>
          <c:dPt>
            <c:idx val="4"/>
            <c:spPr>
              <a:solidFill>
                <a:srgbClr val="4299b0"/>
              </a:solidFill>
              <a:ln>
                <a:noFill/>
              </a:ln>
            </c:spPr>
          </c:dPt>
          <c:dPt>
            <c:idx val="5"/>
            <c:spPr>
              <a:solidFill>
                <a:srgbClr val="dc853e"/>
              </a:solidFill>
              <a:ln>
                <a:noFill/>
              </a:ln>
            </c:spPr>
          </c:dPt>
          <c:dPt>
            <c:idx val="6"/>
            <c:spPr>
              <a:solidFill>
                <a:srgbClr val="93a9ce"/>
              </a:solidFill>
              <a:ln>
                <a:noFill/>
              </a:ln>
            </c:spPr>
          </c:dPt>
          <c:dPt>
            <c:idx val="7"/>
            <c:spPr>
              <a:solidFill>
                <a:srgbClr val="d09493"/>
              </a:solidFill>
              <a:ln>
                <a:noFill/>
              </a:ln>
            </c:spPr>
          </c:dPt>
          <c:dLbls>
            <c:dLbl>
              <c:idx val="0"/>
              <c:dLblPos/>
              <c:showLegendKey val="0"/>
              <c:showVal val="0"/>
              <c:showCatName val="1"/>
              <c:showSerName val="0"/>
              <c:showPercent val="1"/>
              <c:separator>; </c:separator>
            </c:dLbl>
            <c:dLbl>
              <c:idx val="1"/>
              <c:dLblPos/>
              <c:showLegendKey val="0"/>
              <c:showVal val="0"/>
              <c:showCatName val="1"/>
              <c:showSerName val="0"/>
              <c:showPercent val="1"/>
              <c:separator>; </c:separator>
            </c:dLbl>
            <c:dLbl>
              <c:idx val="2"/>
              <c:dLblPos/>
              <c:showLegendKey val="0"/>
              <c:showVal val="0"/>
              <c:showCatName val="1"/>
              <c:showSerName val="0"/>
              <c:showPercent val="1"/>
              <c:separator>; </c:separator>
            </c:dLbl>
            <c:dLbl>
              <c:idx val="3"/>
              <c:dLblPos/>
              <c:showLegendKey val="0"/>
              <c:showVal val="0"/>
              <c:showCatName val="1"/>
              <c:showSerName val="0"/>
              <c:showPercent val="1"/>
              <c:separator>; </c:separator>
            </c:dLbl>
            <c:dLbl>
              <c:idx val="4"/>
              <c:dLblPos val="l"/>
              <c:showLegendKey val="0"/>
              <c:showVal val="0"/>
              <c:showCatName val="1"/>
              <c:showSerName val="0"/>
              <c:showPercent val="1"/>
              <c:separator>; </c:separator>
            </c:dLbl>
            <c:dLbl>
              <c:idx val="5"/>
              <c:dLblPos val="l"/>
              <c:showLegendKey val="0"/>
              <c:showVal val="0"/>
              <c:showCatName val="1"/>
              <c:showSerName val="0"/>
              <c:showPercent val="1"/>
              <c:separator>; </c:separator>
            </c:dLbl>
            <c:dLbl>
              <c:idx val="6"/>
              <c:dLblPos/>
              <c:showLegendKey val="0"/>
              <c:showVal val="0"/>
              <c:showCatName val="1"/>
              <c:showSerName val="0"/>
              <c:showPercent val="1"/>
              <c:separator>; </c:separator>
            </c:dLbl>
            <c:dLbl>
              <c:idx val="7"/>
              <c:dLblPos val="r"/>
              <c:showLegendKey val="0"/>
              <c:showVal val="0"/>
              <c:showCatName val="1"/>
              <c:showSerName val="0"/>
              <c:showPercent val="1"/>
              <c:separator>; </c:separator>
            </c:dLbl>
            <c:showLegendKey val="0"/>
            <c:showVal val="0"/>
            <c:showCatName val="1"/>
            <c:showSerName val="0"/>
            <c:showPercent val="1"/>
          </c:dLbls>
          <c:cat>
            <c:strRef>
              <c:f>categories</c:f>
              <c:strCache>
                <c:ptCount val="8"/>
                <c:pt idx="0">
                  <c:v>Nucléaire</c:v>
                </c:pt>
                <c:pt idx="1">
                  <c:v>Hydraulique</c:v>
                </c:pt>
                <c:pt idx="2">
                  <c:v>Gaz</c:v>
                </c:pt>
                <c:pt idx="3">
                  <c:v>Charbon</c:v>
                </c:pt>
                <c:pt idx="4">
                  <c:v>Pétrole</c:v>
                </c:pt>
                <c:pt idx="5">
                  <c:v>Eolien</c:v>
                </c:pt>
                <c:pt idx="6">
                  <c:v>Photovoltaïque</c:v>
                </c:pt>
                <c:pt idx="7">
                  <c:v>Thermique ENR</c:v>
                </c:pt>
              </c:strCache>
            </c:strRef>
          </c:cat>
          <c:val>
            <c:numRef>
              <c:f>3</c:f>
              <c:numCache>
                <c:formatCode>General</c:formatCode>
                <c:ptCount val="8"/>
                <c:pt idx="0">
                  <c:v>0.763369963369963</c:v>
                </c:pt>
                <c:pt idx="1">
                  <c:v>0.107509157509158</c:v>
                </c:pt>
                <c:pt idx="2">
                  <c:v>0.0404761904761905</c:v>
                </c:pt>
                <c:pt idx="3">
                  <c:v>0.0157509157509158</c:v>
                </c:pt>
                <c:pt idx="4">
                  <c:v>0.00622710622710623</c:v>
                </c:pt>
                <c:pt idx="5">
                  <c:v>0.0386446886446886</c:v>
                </c:pt>
                <c:pt idx="6">
                  <c:v>0.0135531135531136</c:v>
                </c:pt>
                <c:pt idx="7">
                  <c:v>0.0144688644688645</c:v>
                </c:pt>
              </c:numCache>
            </c:numRef>
          </c:val>
        </c:ser>
        <c:firstSliceAng val="0"/>
      </c:pieChart>
      <c:spPr>
        <a:solidFill>
          <a:srgbClr val="ffffff"/>
        </a:solidFill>
        <a:ln>
          <a:noFill/>
        </a:ln>
      </c:spPr>
    </c:plotArea>
    <c:plotVisOnly val="1"/>
  </c:chart>
  <c:spPr>
    <a:noFill/>
    <a:ln>
      <a:noFill/>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b="1">
                <a:solidFill>
                  <a:srgbClr val="000000"/>
                </a:solidFill>
                <a:latin typeface="Calibri"/>
              </a:rPr>
              <a:t> Energies primaires   </a:t>
            </a:r>
          </a:p>
        </c:rich>
      </c:tx>
      <c:layout/>
    </c:title>
    <c:plotArea>
      <c:layout/>
      <c:pieChart>
        <c:varyColors val="1"/>
        <c:ser>
          <c:idx val="0"/>
          <c:order val="0"/>
          <c:tx>
            <c:strRef>
              <c:f>label 3</c:f>
              <c:strCache>
                <c:ptCount val="1"/>
                <c:pt idx="0">
                  <c:v>12,71%</c:v>
                </c:pt>
              </c:strCache>
            </c:strRef>
          </c:tx>
          <c:spPr>
            <a:solidFill>
              <a:srgbClr val="4f81bd"/>
            </a:solidFill>
            <a:ln>
              <a:noFill/>
            </a:ln>
          </c:spPr>
          <c:explosion val="0"/>
          <c:dPt>
            <c:idx val="0"/>
            <c:spPr>
              <a:solidFill>
                <a:srgbClr val="4672a8"/>
              </a:solidFill>
              <a:ln>
                <a:noFill/>
              </a:ln>
            </c:spPr>
          </c:dPt>
          <c:dPt>
            <c:idx val="1"/>
            <c:spPr>
              <a:solidFill>
                <a:srgbClr val="ab4744"/>
              </a:solidFill>
              <a:ln>
                <a:noFill/>
              </a:ln>
            </c:spPr>
          </c:dPt>
          <c:dPt>
            <c:idx val="2"/>
            <c:spPr>
              <a:solidFill>
                <a:srgbClr val="8aa64f"/>
              </a:solidFill>
              <a:ln>
                <a:noFill/>
              </a:ln>
            </c:spPr>
          </c:dPt>
          <c:dPt>
            <c:idx val="3"/>
            <c:spPr>
              <a:solidFill>
                <a:srgbClr val="725990"/>
              </a:solidFill>
              <a:ln>
                <a:noFill/>
              </a:ln>
            </c:spPr>
          </c:dPt>
          <c:dPt>
            <c:idx val="4"/>
            <c:spPr>
              <a:solidFill>
                <a:srgbClr val="4299b0"/>
              </a:solidFill>
              <a:ln>
                <a:noFill/>
              </a:ln>
            </c:spPr>
          </c:dPt>
          <c:dPt>
            <c:idx val="5"/>
            <c:spPr>
              <a:solidFill>
                <a:srgbClr val="dc853e"/>
              </a:solidFill>
              <a:ln>
                <a:noFill/>
              </a:ln>
            </c:spPr>
          </c:dPt>
          <c:dPt>
            <c:idx val="6"/>
            <c:spPr>
              <a:solidFill>
                <a:srgbClr val="93a9ce"/>
              </a:solidFill>
              <a:ln>
                <a:noFill/>
              </a:ln>
            </c:spPr>
          </c:dPt>
          <c:dLbls>
            <c:dLbl>
              <c:idx val="0"/>
              <c:dLblPos/>
              <c:showLegendKey val="0"/>
              <c:showVal val="0"/>
              <c:showCatName val="1"/>
              <c:showSerName val="0"/>
              <c:showPercent val="1"/>
              <c:separator>; </c:separator>
            </c:dLbl>
            <c:dLbl>
              <c:idx val="1"/>
              <c:dLblPos val="t"/>
              <c:showLegendKey val="0"/>
              <c:showVal val="0"/>
              <c:showCatName val="1"/>
              <c:showSerName val="0"/>
              <c:showPercent val="1"/>
              <c:separator>; </c:separator>
            </c:dLbl>
            <c:dLbl>
              <c:idx val="2"/>
              <c:dLblPos/>
              <c:showLegendKey val="0"/>
              <c:showVal val="0"/>
              <c:showCatName val="1"/>
              <c:showSerName val="0"/>
              <c:showPercent val="1"/>
              <c:separator>; </c:separator>
            </c:dLbl>
            <c:dLbl>
              <c:idx val="3"/>
              <c:dLblPos/>
              <c:showLegendKey val="0"/>
              <c:showVal val="0"/>
              <c:showCatName val="1"/>
              <c:showSerName val="0"/>
              <c:showPercent val="1"/>
              <c:separator>; </c:separator>
            </c:dLbl>
            <c:dLbl>
              <c:idx val="4"/>
              <c:dLblPos val="l"/>
              <c:showLegendKey val="0"/>
              <c:showVal val="0"/>
              <c:showCatName val="1"/>
              <c:showSerName val="0"/>
              <c:showPercent val="1"/>
              <c:separator>; </c:separator>
            </c:dLbl>
            <c:dLbl>
              <c:idx val="5"/>
              <c:dLblPos val="l"/>
              <c:showLegendKey val="0"/>
              <c:showVal val="0"/>
              <c:showCatName val="1"/>
              <c:showSerName val="0"/>
              <c:showPercent val="1"/>
              <c:separator>; </c:separator>
            </c:dLbl>
            <c:dLbl>
              <c:idx val="6"/>
              <c:dLblPos/>
              <c:showLegendKey val="0"/>
              <c:showVal val="0"/>
              <c:showCatName val="1"/>
              <c:showSerName val="0"/>
              <c:showPercent val="1"/>
              <c:separator>; </c:separator>
            </c:dLbl>
            <c:showLegendKey val="0"/>
            <c:showVal val="0"/>
            <c:showCatName val="1"/>
            <c:showSerName val="0"/>
            <c:showPercent val="1"/>
          </c:dLbls>
          <c:cat>
            <c:strRef>
              <c:f>categories</c:f>
              <c:strCache>
                <c:ptCount val="7"/>
                <c:pt idx="0">
                  <c:v>Charbon</c:v>
                </c:pt>
                <c:pt idx="1">
                  <c:v>Lignite</c:v>
                </c:pt>
                <c:pt idx="2">
                  <c:v>Pétrole</c:v>
                </c:pt>
                <c:pt idx="3">
                  <c:v>Gaz</c:v>
                </c:pt>
                <c:pt idx="4">
                  <c:v>Nucléaire</c:v>
                </c:pt>
                <c:pt idx="5">
                  <c:v>ENR</c:v>
                </c:pt>
                <c:pt idx="6">
                  <c:v/>
                </c:pt>
              </c:strCache>
            </c:strRef>
          </c:cat>
          <c:val>
            <c:numRef>
              <c:f>3</c:f>
              <c:numCache>
                <c:formatCode>General</c:formatCode>
                <c:ptCount val="7"/>
                <c:pt idx="0">
                  <c:v>0.12709188506473</c:v>
                </c:pt>
                <c:pt idx="1">
                  <c:v>0.117745500473634</c:v>
                </c:pt>
                <c:pt idx="2">
                  <c:v>0.33899589516893</c:v>
                </c:pt>
                <c:pt idx="3">
                  <c:v>0.211335648879065</c:v>
                </c:pt>
                <c:pt idx="4">
                  <c:v>0.0752131354594253</c:v>
                </c:pt>
                <c:pt idx="5">
                  <c:v>0.125418377012946</c:v>
                </c:pt>
                <c:pt idx="6">
                  <c:v>0.0181875592042943</c:v>
                </c:pt>
              </c:numCache>
            </c:numRef>
          </c:val>
        </c:ser>
        <c:ser>
          <c:idx val="1"/>
          <c:order val="1"/>
          <c:tx>
            <c:strRef>
              <c:f>label 4</c:f>
              <c:strCache>
                <c:ptCount val="1"/>
                <c:pt idx="0">
                  <c:v>#REF!</c:v>
                </c:pt>
              </c:strCache>
            </c:strRef>
          </c:tx>
          <c:spPr>
            <a:solidFill>
              <a:srgbClr val="c0504d"/>
            </a:solidFill>
            <a:ln>
              <a:noFill/>
            </a:ln>
          </c:spPr>
          <c:explosion val="0"/>
          <c:dPt>
            <c:idx val="0"/>
            <c:spPr>
              <a:solidFill>
                <a:srgbClr val="4672a8"/>
              </a:solidFill>
              <a:ln>
                <a:noFill/>
              </a:ln>
            </c:spPr>
          </c:dPt>
          <c:dPt>
            <c:idx val="1"/>
            <c:spPr>
              <a:solidFill>
                <a:srgbClr val="ab4744"/>
              </a:solidFill>
              <a:ln>
                <a:noFill/>
              </a:ln>
            </c:spPr>
          </c:dPt>
          <c:dPt>
            <c:idx val="2"/>
            <c:spPr>
              <a:solidFill>
                <a:srgbClr val="8aa64f"/>
              </a:solidFill>
              <a:ln>
                <a:noFill/>
              </a:ln>
            </c:spPr>
          </c:dPt>
          <c:dPt>
            <c:idx val="3"/>
            <c:spPr>
              <a:solidFill>
                <a:srgbClr val="725990"/>
              </a:solidFill>
              <a:ln>
                <a:noFill/>
              </a:ln>
            </c:spPr>
          </c:dPt>
          <c:dPt>
            <c:idx val="4"/>
            <c:spPr>
              <a:solidFill>
                <a:srgbClr val="4299b0"/>
              </a:solidFill>
              <a:ln>
                <a:noFill/>
              </a:ln>
            </c:spPr>
          </c:dPt>
          <c:dPt>
            <c:idx val="5"/>
            <c:spPr>
              <a:solidFill>
                <a:srgbClr val="dc853e"/>
              </a:solidFill>
              <a:ln>
                <a:noFill/>
              </a:ln>
            </c:spPr>
          </c:dPt>
          <c:dPt>
            <c:idx val="6"/>
            <c:spPr>
              <a:solidFill>
                <a:srgbClr val="93a9ce"/>
              </a:solidFill>
              <a:ln>
                <a:noFill/>
              </a:ln>
            </c:spPr>
          </c:dPt>
          <c:dLbls>
            <c:dLbl>
              <c:idx val="0"/>
              <c:dLblPos val="bestFit"/>
              <c:showLegendKey val="0"/>
              <c:showVal val="1"/>
              <c:showCatName val="0"/>
              <c:showSerName val="0"/>
              <c:showPercent val="0"/>
              <c:separator>; </c:separator>
            </c:dLbl>
            <c:dLbl>
              <c:idx val="1"/>
              <c:dLblPos val="bestFit"/>
              <c:showLegendKey val="0"/>
              <c:showVal val="1"/>
              <c:showCatName val="0"/>
              <c:showSerName val="0"/>
              <c:showPercent val="0"/>
              <c:separator>; </c:separator>
            </c:dLbl>
            <c:dLbl>
              <c:idx val="2"/>
              <c:dLblPos val="bestFit"/>
              <c:showLegendKey val="0"/>
              <c:showVal val="1"/>
              <c:showCatName val="0"/>
              <c:showSerName val="0"/>
              <c:showPercent val="0"/>
              <c:separator>; </c:separator>
            </c:dLbl>
            <c:dLbl>
              <c:idx val="3"/>
              <c:dLblPos val="bestFit"/>
              <c:showLegendKey val="0"/>
              <c:showVal val="1"/>
              <c:showCatName val="0"/>
              <c:showSerName val="0"/>
              <c:showPercent val="0"/>
              <c:separator>; </c:separator>
            </c:dLbl>
            <c:dLbl>
              <c:idx val="4"/>
              <c:dLblPos val="bestFit"/>
              <c:showLegendKey val="0"/>
              <c:showVal val="1"/>
              <c:showCatName val="0"/>
              <c:showSerName val="0"/>
              <c:showPercent val="0"/>
              <c:separator>; </c:separator>
            </c:dLbl>
            <c:dLbl>
              <c:idx val="5"/>
              <c:dLblPos val="bestFit"/>
              <c:showLegendKey val="0"/>
              <c:showVal val="1"/>
              <c:showCatName val="0"/>
              <c:showSerName val="0"/>
              <c:showPercent val="0"/>
              <c:separator>; </c:separator>
            </c:dLbl>
            <c:dLbl>
              <c:idx val="6"/>
              <c:dLblPos val="bestFit"/>
              <c:showLegendKey val="0"/>
              <c:showVal val="1"/>
              <c:showCatName val="0"/>
              <c:showSerName val="0"/>
              <c:showPercent val="0"/>
              <c:separator>; </c:separator>
            </c:dLbl>
            <c:showLegendKey val="0"/>
            <c:showVal val="1"/>
            <c:showCatName val="0"/>
            <c:showSerName val="0"/>
            <c:showPercent val="0"/>
          </c:dLbls>
          <c:cat>
            <c:strRef>
              <c:f>categories</c:f>
              <c:strCache>
                <c:ptCount val="7"/>
                <c:pt idx="0">
                  <c:v>Charbon</c:v>
                </c:pt>
                <c:pt idx="1">
                  <c:v>Lignite</c:v>
                </c:pt>
                <c:pt idx="2">
                  <c:v>Pétrole</c:v>
                </c:pt>
                <c:pt idx="3">
                  <c:v>Gaz</c:v>
                </c:pt>
                <c:pt idx="4">
                  <c:v>Nucléaire</c:v>
                </c:pt>
                <c:pt idx="5">
                  <c:v>ENR</c:v>
                </c:pt>
                <c:pt idx="6">
                  <c:v/>
                </c:pt>
              </c:strCache>
            </c:strRef>
          </c:cat>
          <c:val>
            <c:numRef>
              <c:f>4</c:f>
              <c:numCache>
                <c:formatCode>General</c:formatCode>
                <c:ptCount val="7"/>
                <c:pt idx="0">
                  <c:v>1</c:v>
                </c:pt>
                <c:pt idx="1">
                  <c:v/>
                </c:pt>
                <c:pt idx="2">
                  <c:v/>
                </c:pt>
                <c:pt idx="3">
                  <c:v/>
                </c:pt>
                <c:pt idx="4">
                  <c:v/>
                </c:pt>
                <c:pt idx="5">
                  <c:v/>
                </c:pt>
                <c:pt idx="6">
                  <c:v/>
                </c:pt>
              </c:numCache>
            </c:numRef>
          </c:val>
        </c:ser>
        <c:ser>
          <c:idx val="2"/>
          <c:order val="2"/>
          <c:tx>
            <c:strRef>
              <c:f>label 5</c:f>
              <c:strCache>
                <c:ptCount val="1"/>
                <c:pt idx="0">
                  <c:v>33,90%</c:v>
                </c:pt>
              </c:strCache>
            </c:strRef>
          </c:tx>
          <c:spPr>
            <a:solidFill>
              <a:srgbClr val="9bbb59"/>
            </a:solidFill>
            <a:ln>
              <a:noFill/>
            </a:ln>
          </c:spPr>
          <c:explosion val="0"/>
          <c:dPt>
            <c:idx val="0"/>
            <c:spPr>
              <a:solidFill>
                <a:srgbClr val="4672a8"/>
              </a:solidFill>
              <a:ln>
                <a:noFill/>
              </a:ln>
            </c:spPr>
          </c:dPt>
          <c:dPt>
            <c:idx val="1"/>
            <c:spPr>
              <a:solidFill>
                <a:srgbClr val="ab4744"/>
              </a:solidFill>
              <a:ln>
                <a:noFill/>
              </a:ln>
            </c:spPr>
          </c:dPt>
          <c:dPt>
            <c:idx val="2"/>
            <c:spPr>
              <a:solidFill>
                <a:srgbClr val="8aa64f"/>
              </a:solidFill>
              <a:ln>
                <a:noFill/>
              </a:ln>
            </c:spPr>
          </c:dPt>
          <c:dPt>
            <c:idx val="3"/>
            <c:spPr>
              <a:solidFill>
                <a:srgbClr val="725990"/>
              </a:solidFill>
              <a:ln>
                <a:noFill/>
              </a:ln>
            </c:spPr>
          </c:dPt>
          <c:dPt>
            <c:idx val="4"/>
            <c:spPr>
              <a:solidFill>
                <a:srgbClr val="4299b0"/>
              </a:solidFill>
              <a:ln>
                <a:noFill/>
              </a:ln>
            </c:spPr>
          </c:dPt>
          <c:dPt>
            <c:idx val="5"/>
            <c:spPr>
              <a:solidFill>
                <a:srgbClr val="dc853e"/>
              </a:solidFill>
              <a:ln>
                <a:noFill/>
              </a:ln>
            </c:spPr>
          </c:dPt>
          <c:dPt>
            <c:idx val="6"/>
            <c:spPr>
              <a:solidFill>
                <a:srgbClr val="93a9ce"/>
              </a:solidFill>
              <a:ln>
                <a:noFill/>
              </a:ln>
            </c:spPr>
          </c:dPt>
          <c:dLbls>
            <c:dLbl>
              <c:idx val="0"/>
              <c:dLblPos val="bestFit"/>
              <c:showLegendKey val="0"/>
              <c:showVal val="1"/>
              <c:showCatName val="0"/>
              <c:showSerName val="0"/>
              <c:showPercent val="0"/>
              <c:separator>; </c:separator>
            </c:dLbl>
            <c:dLbl>
              <c:idx val="1"/>
              <c:dLblPos val="bestFit"/>
              <c:showLegendKey val="0"/>
              <c:showVal val="1"/>
              <c:showCatName val="0"/>
              <c:showSerName val="0"/>
              <c:showPercent val="0"/>
              <c:separator>; </c:separator>
            </c:dLbl>
            <c:dLbl>
              <c:idx val="2"/>
              <c:dLblPos val="bestFit"/>
              <c:showLegendKey val="0"/>
              <c:showVal val="1"/>
              <c:showCatName val="0"/>
              <c:showSerName val="0"/>
              <c:showPercent val="0"/>
              <c:separator>; </c:separator>
            </c:dLbl>
            <c:dLbl>
              <c:idx val="3"/>
              <c:dLblPos val="bestFit"/>
              <c:showLegendKey val="0"/>
              <c:showVal val="1"/>
              <c:showCatName val="0"/>
              <c:showSerName val="0"/>
              <c:showPercent val="0"/>
              <c:separator>; </c:separator>
            </c:dLbl>
            <c:dLbl>
              <c:idx val="4"/>
              <c:dLblPos val="bestFit"/>
              <c:showLegendKey val="0"/>
              <c:showVal val="1"/>
              <c:showCatName val="0"/>
              <c:showSerName val="0"/>
              <c:showPercent val="0"/>
              <c:separator>; </c:separator>
            </c:dLbl>
            <c:dLbl>
              <c:idx val="5"/>
              <c:dLblPos val="bestFit"/>
              <c:showLegendKey val="0"/>
              <c:showVal val="1"/>
              <c:showCatName val="0"/>
              <c:showSerName val="0"/>
              <c:showPercent val="0"/>
              <c:separator>; </c:separator>
            </c:dLbl>
            <c:dLbl>
              <c:idx val="6"/>
              <c:dLblPos val="bestFit"/>
              <c:showLegendKey val="0"/>
              <c:showVal val="1"/>
              <c:showCatName val="0"/>
              <c:showSerName val="0"/>
              <c:showPercent val="0"/>
              <c:separator>; </c:separator>
            </c:dLbl>
            <c:showLegendKey val="0"/>
            <c:showVal val="1"/>
            <c:showCatName val="0"/>
            <c:showSerName val="0"/>
            <c:showPercent val="0"/>
          </c:dLbls>
          <c:cat>
            <c:strRef>
              <c:f>categories</c:f>
              <c:strCache>
                <c:ptCount val="7"/>
                <c:pt idx="0">
                  <c:v>Charbon</c:v>
                </c:pt>
                <c:pt idx="1">
                  <c:v>Lignite</c:v>
                </c:pt>
                <c:pt idx="2">
                  <c:v>Pétrole</c:v>
                </c:pt>
                <c:pt idx="3">
                  <c:v>Gaz</c:v>
                </c:pt>
                <c:pt idx="4">
                  <c:v>Nucléaire</c:v>
                </c:pt>
                <c:pt idx="5">
                  <c:v>ENR</c:v>
                </c:pt>
                <c:pt idx="6">
                  <c:v/>
                </c:pt>
              </c:strCache>
            </c:strRef>
          </c:cat>
          <c:val>
            <c:numRef>
              <c:f>5</c:f>
              <c:numCache>
                <c:formatCode>General</c:formatCode>
                <c:ptCount val="7"/>
                <c:pt idx="0">
                  <c:v>1</c:v>
                </c:pt>
                <c:pt idx="1">
                  <c:v/>
                </c:pt>
                <c:pt idx="2">
                  <c:v/>
                </c:pt>
                <c:pt idx="3">
                  <c:v/>
                </c:pt>
                <c:pt idx="4">
                  <c:v/>
                </c:pt>
                <c:pt idx="5">
                  <c:v/>
                </c:pt>
                <c:pt idx="6">
                  <c:v/>
                </c:pt>
              </c:numCache>
            </c:numRef>
          </c:val>
        </c:ser>
        <c:ser>
          <c:idx val="3"/>
          <c:order val="3"/>
          <c:tx>
            <c:strRef>
              <c:f>label 6</c:f>
              <c:strCache>
                <c:ptCount val="1"/>
                <c:pt idx="0">
                  <c:v>21,13%</c:v>
                </c:pt>
              </c:strCache>
            </c:strRef>
          </c:tx>
          <c:spPr>
            <a:solidFill>
              <a:srgbClr val="8064a2"/>
            </a:solidFill>
            <a:ln>
              <a:noFill/>
            </a:ln>
          </c:spPr>
          <c:explosion val="0"/>
          <c:dPt>
            <c:idx val="0"/>
            <c:spPr>
              <a:solidFill>
                <a:srgbClr val="4672a8"/>
              </a:solidFill>
              <a:ln>
                <a:noFill/>
              </a:ln>
            </c:spPr>
          </c:dPt>
          <c:dPt>
            <c:idx val="1"/>
            <c:spPr>
              <a:solidFill>
                <a:srgbClr val="ab4744"/>
              </a:solidFill>
              <a:ln>
                <a:noFill/>
              </a:ln>
            </c:spPr>
          </c:dPt>
          <c:dPt>
            <c:idx val="2"/>
            <c:spPr>
              <a:solidFill>
                <a:srgbClr val="8aa64f"/>
              </a:solidFill>
              <a:ln>
                <a:noFill/>
              </a:ln>
            </c:spPr>
          </c:dPt>
          <c:dPt>
            <c:idx val="3"/>
            <c:spPr>
              <a:solidFill>
                <a:srgbClr val="725990"/>
              </a:solidFill>
              <a:ln>
                <a:noFill/>
              </a:ln>
            </c:spPr>
          </c:dPt>
          <c:dPt>
            <c:idx val="4"/>
            <c:spPr>
              <a:solidFill>
                <a:srgbClr val="4299b0"/>
              </a:solidFill>
              <a:ln>
                <a:noFill/>
              </a:ln>
            </c:spPr>
          </c:dPt>
          <c:dPt>
            <c:idx val="5"/>
            <c:spPr>
              <a:solidFill>
                <a:srgbClr val="dc853e"/>
              </a:solidFill>
              <a:ln>
                <a:noFill/>
              </a:ln>
            </c:spPr>
          </c:dPt>
          <c:dPt>
            <c:idx val="6"/>
            <c:spPr>
              <a:solidFill>
                <a:srgbClr val="93a9ce"/>
              </a:solidFill>
              <a:ln>
                <a:noFill/>
              </a:ln>
            </c:spPr>
          </c:dPt>
          <c:dLbls>
            <c:dLbl>
              <c:idx val="0"/>
              <c:dLblPos val="bestFit"/>
              <c:showLegendKey val="0"/>
              <c:showVal val="1"/>
              <c:showCatName val="0"/>
              <c:showSerName val="0"/>
              <c:showPercent val="0"/>
              <c:separator>; </c:separator>
            </c:dLbl>
            <c:dLbl>
              <c:idx val="1"/>
              <c:dLblPos val="bestFit"/>
              <c:showLegendKey val="0"/>
              <c:showVal val="1"/>
              <c:showCatName val="0"/>
              <c:showSerName val="0"/>
              <c:showPercent val="0"/>
              <c:separator>; </c:separator>
            </c:dLbl>
            <c:dLbl>
              <c:idx val="2"/>
              <c:dLblPos val="bestFit"/>
              <c:showLegendKey val="0"/>
              <c:showVal val="1"/>
              <c:showCatName val="0"/>
              <c:showSerName val="0"/>
              <c:showPercent val="0"/>
              <c:separator>; </c:separator>
            </c:dLbl>
            <c:dLbl>
              <c:idx val="3"/>
              <c:dLblPos val="bestFit"/>
              <c:showLegendKey val="0"/>
              <c:showVal val="1"/>
              <c:showCatName val="0"/>
              <c:showSerName val="0"/>
              <c:showPercent val="0"/>
              <c:separator>; </c:separator>
            </c:dLbl>
            <c:dLbl>
              <c:idx val="4"/>
              <c:dLblPos val="bestFit"/>
              <c:showLegendKey val="0"/>
              <c:showVal val="1"/>
              <c:showCatName val="0"/>
              <c:showSerName val="0"/>
              <c:showPercent val="0"/>
              <c:separator>; </c:separator>
            </c:dLbl>
            <c:dLbl>
              <c:idx val="5"/>
              <c:dLblPos val="bestFit"/>
              <c:showLegendKey val="0"/>
              <c:showVal val="1"/>
              <c:showCatName val="0"/>
              <c:showSerName val="0"/>
              <c:showPercent val="0"/>
              <c:separator>; </c:separator>
            </c:dLbl>
            <c:dLbl>
              <c:idx val="6"/>
              <c:dLblPos val="bestFit"/>
              <c:showLegendKey val="0"/>
              <c:showVal val="1"/>
              <c:showCatName val="0"/>
              <c:showSerName val="0"/>
              <c:showPercent val="0"/>
              <c:separator>; </c:separator>
            </c:dLbl>
            <c:showLegendKey val="0"/>
            <c:showVal val="1"/>
            <c:showCatName val="0"/>
            <c:showSerName val="0"/>
            <c:showPercent val="0"/>
          </c:dLbls>
          <c:cat>
            <c:strRef>
              <c:f>categories</c:f>
              <c:strCache>
                <c:ptCount val="7"/>
                <c:pt idx="0">
                  <c:v>Charbon</c:v>
                </c:pt>
                <c:pt idx="1">
                  <c:v>Lignite</c:v>
                </c:pt>
                <c:pt idx="2">
                  <c:v>Pétrole</c:v>
                </c:pt>
                <c:pt idx="3">
                  <c:v>Gaz</c:v>
                </c:pt>
                <c:pt idx="4">
                  <c:v>Nucléaire</c:v>
                </c:pt>
                <c:pt idx="5">
                  <c:v>ENR</c:v>
                </c:pt>
                <c:pt idx="6">
                  <c:v/>
                </c:pt>
              </c:strCache>
            </c:strRef>
          </c:cat>
          <c:val>
            <c:numRef>
              <c:f>6</c:f>
              <c:numCache>
                <c:formatCode>General</c:formatCode>
                <c:ptCount val="7"/>
                <c:pt idx="0">
                  <c:v>1</c:v>
                </c:pt>
                <c:pt idx="1">
                  <c:v/>
                </c:pt>
                <c:pt idx="2">
                  <c:v/>
                </c:pt>
                <c:pt idx="3">
                  <c:v/>
                </c:pt>
                <c:pt idx="4">
                  <c:v/>
                </c:pt>
                <c:pt idx="5">
                  <c:v/>
                </c:pt>
                <c:pt idx="6">
                  <c:v/>
                </c:pt>
              </c:numCache>
            </c:numRef>
          </c:val>
        </c:ser>
        <c:ser>
          <c:idx val="4"/>
          <c:order val="4"/>
          <c:tx>
            <c:strRef>
              <c:f>label 7</c:f>
              <c:strCache>
                <c:ptCount val="1"/>
                <c:pt idx="0">
                  <c:v>12,54%</c:v>
                </c:pt>
              </c:strCache>
            </c:strRef>
          </c:tx>
          <c:spPr>
            <a:solidFill>
              <a:srgbClr val="4bacc6"/>
            </a:solidFill>
            <a:ln>
              <a:noFill/>
            </a:ln>
          </c:spPr>
          <c:explosion val="0"/>
          <c:dPt>
            <c:idx val="0"/>
            <c:spPr>
              <a:solidFill>
                <a:srgbClr val="4672a8"/>
              </a:solidFill>
              <a:ln>
                <a:noFill/>
              </a:ln>
            </c:spPr>
          </c:dPt>
          <c:dPt>
            <c:idx val="1"/>
            <c:spPr>
              <a:solidFill>
                <a:srgbClr val="ab4744"/>
              </a:solidFill>
              <a:ln>
                <a:noFill/>
              </a:ln>
            </c:spPr>
          </c:dPt>
          <c:dPt>
            <c:idx val="2"/>
            <c:spPr>
              <a:solidFill>
                <a:srgbClr val="8aa64f"/>
              </a:solidFill>
              <a:ln>
                <a:noFill/>
              </a:ln>
            </c:spPr>
          </c:dPt>
          <c:dPt>
            <c:idx val="3"/>
            <c:spPr>
              <a:solidFill>
                <a:srgbClr val="725990"/>
              </a:solidFill>
              <a:ln>
                <a:noFill/>
              </a:ln>
            </c:spPr>
          </c:dPt>
          <c:dPt>
            <c:idx val="4"/>
            <c:spPr>
              <a:solidFill>
                <a:srgbClr val="4299b0"/>
              </a:solidFill>
              <a:ln>
                <a:noFill/>
              </a:ln>
            </c:spPr>
          </c:dPt>
          <c:dPt>
            <c:idx val="5"/>
            <c:spPr>
              <a:solidFill>
                <a:srgbClr val="dc853e"/>
              </a:solidFill>
              <a:ln>
                <a:noFill/>
              </a:ln>
            </c:spPr>
          </c:dPt>
          <c:dPt>
            <c:idx val="6"/>
            <c:spPr>
              <a:solidFill>
                <a:srgbClr val="93a9ce"/>
              </a:solidFill>
              <a:ln>
                <a:noFill/>
              </a:ln>
            </c:spPr>
          </c:dPt>
          <c:dLbls>
            <c:dLbl>
              <c:idx val="0"/>
              <c:dLblPos val="bestFit"/>
              <c:showLegendKey val="0"/>
              <c:showVal val="1"/>
              <c:showCatName val="0"/>
              <c:showSerName val="0"/>
              <c:showPercent val="0"/>
              <c:separator>; </c:separator>
            </c:dLbl>
            <c:dLbl>
              <c:idx val="1"/>
              <c:dLblPos val="bestFit"/>
              <c:showLegendKey val="0"/>
              <c:showVal val="1"/>
              <c:showCatName val="0"/>
              <c:showSerName val="0"/>
              <c:showPercent val="0"/>
              <c:separator>; </c:separator>
            </c:dLbl>
            <c:dLbl>
              <c:idx val="2"/>
              <c:dLblPos val="bestFit"/>
              <c:showLegendKey val="0"/>
              <c:showVal val="1"/>
              <c:showCatName val="0"/>
              <c:showSerName val="0"/>
              <c:showPercent val="0"/>
              <c:separator>; </c:separator>
            </c:dLbl>
            <c:dLbl>
              <c:idx val="3"/>
              <c:dLblPos val="bestFit"/>
              <c:showLegendKey val="0"/>
              <c:showVal val="1"/>
              <c:showCatName val="0"/>
              <c:showSerName val="0"/>
              <c:showPercent val="0"/>
              <c:separator>; </c:separator>
            </c:dLbl>
            <c:dLbl>
              <c:idx val="4"/>
              <c:dLblPos val="bestFit"/>
              <c:showLegendKey val="0"/>
              <c:showVal val="1"/>
              <c:showCatName val="0"/>
              <c:showSerName val="0"/>
              <c:showPercent val="0"/>
              <c:separator>; </c:separator>
            </c:dLbl>
            <c:dLbl>
              <c:idx val="5"/>
              <c:dLblPos val="bestFit"/>
              <c:showLegendKey val="0"/>
              <c:showVal val="1"/>
              <c:showCatName val="0"/>
              <c:showSerName val="0"/>
              <c:showPercent val="0"/>
              <c:separator>; </c:separator>
            </c:dLbl>
            <c:dLbl>
              <c:idx val="6"/>
              <c:dLblPos val="bestFit"/>
              <c:showLegendKey val="0"/>
              <c:showVal val="1"/>
              <c:showCatName val="0"/>
              <c:showSerName val="0"/>
              <c:showPercent val="0"/>
              <c:separator>; </c:separator>
            </c:dLbl>
            <c:showLegendKey val="0"/>
            <c:showVal val="1"/>
            <c:showCatName val="0"/>
            <c:showSerName val="0"/>
            <c:showPercent val="0"/>
          </c:dLbls>
          <c:cat>
            <c:strRef>
              <c:f>categories</c:f>
              <c:strCache>
                <c:ptCount val="7"/>
                <c:pt idx="0">
                  <c:v>Charbon</c:v>
                </c:pt>
                <c:pt idx="1">
                  <c:v>Lignite</c:v>
                </c:pt>
                <c:pt idx="2">
                  <c:v>Pétrole</c:v>
                </c:pt>
                <c:pt idx="3">
                  <c:v>Gaz</c:v>
                </c:pt>
                <c:pt idx="4">
                  <c:v>Nucléaire</c:v>
                </c:pt>
                <c:pt idx="5">
                  <c:v>ENR</c:v>
                </c:pt>
                <c:pt idx="6">
                  <c:v/>
                </c:pt>
              </c:strCache>
            </c:strRef>
          </c:cat>
          <c:val>
            <c:numRef>
              <c:f>7</c:f>
              <c:numCache>
                <c:formatCode>General</c:formatCode>
                <c:ptCount val="7"/>
                <c:pt idx="0">
                  <c:v>1</c:v>
                </c:pt>
                <c:pt idx="1">
                  <c:v/>
                </c:pt>
                <c:pt idx="2">
                  <c:v/>
                </c:pt>
                <c:pt idx="3">
                  <c:v/>
                </c:pt>
                <c:pt idx="4">
                  <c:v/>
                </c:pt>
                <c:pt idx="5">
                  <c:v/>
                </c:pt>
                <c:pt idx="6">
                  <c:v/>
                </c:pt>
              </c:numCache>
            </c:numRef>
          </c:val>
        </c:ser>
        <c:ser>
          <c:idx val="5"/>
          <c:order val="5"/>
          <c:tx>
            <c:strRef>
              <c:f>label 8</c:f>
              <c:strCache>
                <c:ptCount val="1"/>
                <c:pt idx="0">
                  <c:v>1,82%</c:v>
                </c:pt>
              </c:strCache>
            </c:strRef>
          </c:tx>
          <c:spPr>
            <a:solidFill>
              <a:srgbClr val="f79646"/>
            </a:solidFill>
            <a:ln>
              <a:noFill/>
            </a:ln>
          </c:spPr>
          <c:explosion val="0"/>
          <c:dPt>
            <c:idx val="0"/>
            <c:spPr>
              <a:solidFill>
                <a:srgbClr val="4672a8"/>
              </a:solidFill>
              <a:ln>
                <a:noFill/>
              </a:ln>
            </c:spPr>
          </c:dPt>
          <c:dPt>
            <c:idx val="1"/>
            <c:spPr>
              <a:solidFill>
                <a:srgbClr val="ab4744"/>
              </a:solidFill>
              <a:ln>
                <a:noFill/>
              </a:ln>
            </c:spPr>
          </c:dPt>
          <c:dPt>
            <c:idx val="2"/>
            <c:spPr>
              <a:solidFill>
                <a:srgbClr val="8aa64f"/>
              </a:solidFill>
              <a:ln>
                <a:noFill/>
              </a:ln>
            </c:spPr>
          </c:dPt>
          <c:dPt>
            <c:idx val="3"/>
            <c:spPr>
              <a:solidFill>
                <a:srgbClr val="725990"/>
              </a:solidFill>
              <a:ln>
                <a:noFill/>
              </a:ln>
            </c:spPr>
          </c:dPt>
          <c:dPt>
            <c:idx val="4"/>
            <c:spPr>
              <a:solidFill>
                <a:srgbClr val="4299b0"/>
              </a:solidFill>
              <a:ln>
                <a:noFill/>
              </a:ln>
            </c:spPr>
          </c:dPt>
          <c:dPt>
            <c:idx val="5"/>
            <c:spPr>
              <a:solidFill>
                <a:srgbClr val="dc853e"/>
              </a:solidFill>
              <a:ln>
                <a:noFill/>
              </a:ln>
            </c:spPr>
          </c:dPt>
          <c:dPt>
            <c:idx val="6"/>
            <c:spPr>
              <a:solidFill>
                <a:srgbClr val="93a9ce"/>
              </a:solidFill>
              <a:ln>
                <a:noFill/>
              </a:ln>
            </c:spPr>
          </c:dPt>
          <c:dLbls>
            <c:dLbl>
              <c:idx val="0"/>
              <c:dLblPos val="bestFit"/>
              <c:showLegendKey val="0"/>
              <c:showVal val="1"/>
              <c:showCatName val="0"/>
              <c:showSerName val="0"/>
              <c:showPercent val="0"/>
              <c:separator>; </c:separator>
            </c:dLbl>
            <c:dLbl>
              <c:idx val="1"/>
              <c:dLblPos val="bestFit"/>
              <c:showLegendKey val="0"/>
              <c:showVal val="1"/>
              <c:showCatName val="0"/>
              <c:showSerName val="0"/>
              <c:showPercent val="0"/>
              <c:separator>; </c:separator>
            </c:dLbl>
            <c:dLbl>
              <c:idx val="2"/>
              <c:dLblPos val="bestFit"/>
              <c:showLegendKey val="0"/>
              <c:showVal val="1"/>
              <c:showCatName val="0"/>
              <c:showSerName val="0"/>
              <c:showPercent val="0"/>
              <c:separator>; </c:separator>
            </c:dLbl>
            <c:dLbl>
              <c:idx val="3"/>
              <c:dLblPos val="bestFit"/>
              <c:showLegendKey val="0"/>
              <c:showVal val="1"/>
              <c:showCatName val="0"/>
              <c:showSerName val="0"/>
              <c:showPercent val="0"/>
              <c:separator>; </c:separator>
            </c:dLbl>
            <c:dLbl>
              <c:idx val="4"/>
              <c:dLblPos val="bestFit"/>
              <c:showLegendKey val="0"/>
              <c:showVal val="1"/>
              <c:showCatName val="0"/>
              <c:showSerName val="0"/>
              <c:showPercent val="0"/>
              <c:separator>; </c:separator>
            </c:dLbl>
            <c:dLbl>
              <c:idx val="5"/>
              <c:dLblPos val="bestFit"/>
              <c:showLegendKey val="0"/>
              <c:showVal val="1"/>
              <c:showCatName val="0"/>
              <c:showSerName val="0"/>
              <c:showPercent val="0"/>
              <c:separator>; </c:separator>
            </c:dLbl>
            <c:dLbl>
              <c:idx val="6"/>
              <c:dLblPos val="bestFit"/>
              <c:showLegendKey val="0"/>
              <c:showVal val="1"/>
              <c:showCatName val="0"/>
              <c:showSerName val="0"/>
              <c:showPercent val="0"/>
              <c:separator>; </c:separator>
            </c:dLbl>
            <c:showLegendKey val="0"/>
            <c:showVal val="1"/>
            <c:showCatName val="0"/>
            <c:showSerName val="0"/>
            <c:showPercent val="0"/>
          </c:dLbls>
          <c:cat>
            <c:strRef>
              <c:f>categories</c:f>
              <c:strCache>
                <c:ptCount val="7"/>
                <c:pt idx="0">
                  <c:v>Charbon</c:v>
                </c:pt>
                <c:pt idx="1">
                  <c:v>Lignite</c:v>
                </c:pt>
                <c:pt idx="2">
                  <c:v>Pétrole</c:v>
                </c:pt>
                <c:pt idx="3">
                  <c:v>Gaz</c:v>
                </c:pt>
                <c:pt idx="4">
                  <c:v>Nucléaire</c:v>
                </c:pt>
                <c:pt idx="5">
                  <c:v>ENR</c:v>
                </c:pt>
                <c:pt idx="6">
                  <c:v/>
                </c:pt>
              </c:strCache>
            </c:strRef>
          </c:cat>
          <c:val>
            <c:numRef>
              <c:f>8</c:f>
              <c:numCache>
                <c:formatCode>General</c:formatCode>
                <c:ptCount val="7"/>
                <c:pt idx="0">
                  <c:v>1</c:v>
                </c:pt>
                <c:pt idx="1">
                  <c:v/>
                </c:pt>
                <c:pt idx="2">
                  <c:v/>
                </c:pt>
                <c:pt idx="3">
                  <c:v/>
                </c:pt>
                <c:pt idx="4">
                  <c:v/>
                </c:pt>
                <c:pt idx="5">
                  <c:v/>
                </c:pt>
                <c:pt idx="6">
                  <c:v/>
                </c:pt>
              </c:numCache>
            </c:numRef>
          </c:val>
        </c:ser>
        <c:firstSliceAng val="0"/>
      </c:pieChart>
      <c:spPr>
        <a:solidFill>
          <a:srgbClr val="ffffff"/>
        </a:solidFill>
        <a:ln>
          <a:noFill/>
        </a:ln>
      </c:spPr>
    </c:plotArea>
    <c:plotVisOnly val="1"/>
  </c:chart>
  <c:spPr>
    <a:noFill/>
    <a:ln>
      <a:noFill/>
    </a:ln>
  </c:spPr>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b="1">
                <a:solidFill>
                  <a:srgbClr val="000000"/>
                </a:solidFill>
                <a:latin typeface="Calibri"/>
              </a:rPr>
              <a:t> Energies primaires   </a:t>
            </a:r>
          </a:p>
        </c:rich>
      </c:tx>
      <c:layout/>
    </c:title>
    <c:plotArea>
      <c:layout/>
      <c:pieChart>
        <c:varyColors val="1"/>
        <c:ser>
          <c:idx val="0"/>
          <c:order val="0"/>
          <c:tx>
            <c:strRef>
              <c:f>label 3</c:f>
              <c:strCache>
                <c:ptCount val="1"/>
                <c:pt idx="0">
                  <c:v>12,71%</c:v>
                </c:pt>
              </c:strCache>
            </c:strRef>
          </c:tx>
          <c:spPr>
            <a:solidFill>
              <a:srgbClr val="4f81bd"/>
            </a:solidFill>
            <a:ln>
              <a:noFill/>
            </a:ln>
          </c:spPr>
          <c:explosion val="0"/>
          <c:dPt>
            <c:idx val="0"/>
            <c:spPr>
              <a:solidFill>
                <a:srgbClr val="4672a8"/>
              </a:solidFill>
              <a:ln>
                <a:noFill/>
              </a:ln>
            </c:spPr>
          </c:dPt>
          <c:dPt>
            <c:idx val="1"/>
            <c:spPr>
              <a:solidFill>
                <a:srgbClr val="ab4744"/>
              </a:solidFill>
              <a:ln>
                <a:noFill/>
              </a:ln>
            </c:spPr>
          </c:dPt>
          <c:dPt>
            <c:idx val="2"/>
            <c:spPr>
              <a:solidFill>
                <a:srgbClr val="8aa64f"/>
              </a:solidFill>
              <a:ln>
                <a:noFill/>
              </a:ln>
            </c:spPr>
          </c:dPt>
          <c:dPt>
            <c:idx val="3"/>
            <c:spPr>
              <a:solidFill>
                <a:srgbClr val="725990"/>
              </a:solidFill>
              <a:ln>
                <a:noFill/>
              </a:ln>
            </c:spPr>
          </c:dPt>
          <c:dPt>
            <c:idx val="4"/>
            <c:spPr>
              <a:solidFill>
                <a:srgbClr val="4299b0"/>
              </a:solidFill>
              <a:ln>
                <a:noFill/>
              </a:ln>
            </c:spPr>
          </c:dPt>
          <c:dPt>
            <c:idx val="5"/>
            <c:spPr>
              <a:solidFill>
                <a:srgbClr val="dc853e"/>
              </a:solidFill>
              <a:ln>
                <a:noFill/>
              </a:ln>
            </c:spPr>
          </c:dPt>
          <c:dPt>
            <c:idx val="6"/>
            <c:spPr>
              <a:solidFill>
                <a:srgbClr val="93a9ce"/>
              </a:solidFill>
              <a:ln>
                <a:noFill/>
              </a:ln>
            </c:spPr>
          </c:dPt>
          <c:dLbls>
            <c:dLbl>
              <c:idx val="0"/>
              <c:dLblPos/>
              <c:showLegendKey val="0"/>
              <c:showVal val="0"/>
              <c:showCatName val="1"/>
              <c:showSerName val="0"/>
              <c:showPercent val="1"/>
              <c:separator>; </c:separator>
            </c:dLbl>
            <c:dLbl>
              <c:idx val="1"/>
              <c:dLblPos val="t"/>
              <c:showLegendKey val="0"/>
              <c:showVal val="0"/>
              <c:showCatName val="1"/>
              <c:showSerName val="0"/>
              <c:showPercent val="1"/>
              <c:separator>; </c:separator>
            </c:dLbl>
            <c:dLbl>
              <c:idx val="2"/>
              <c:dLblPos/>
              <c:showLegendKey val="0"/>
              <c:showVal val="0"/>
              <c:showCatName val="1"/>
              <c:showSerName val="0"/>
              <c:showPercent val="1"/>
              <c:separator>; </c:separator>
            </c:dLbl>
            <c:dLbl>
              <c:idx val="3"/>
              <c:dLblPos/>
              <c:showLegendKey val="0"/>
              <c:showVal val="0"/>
              <c:showCatName val="1"/>
              <c:showSerName val="0"/>
              <c:showPercent val="1"/>
              <c:separator>; </c:separator>
            </c:dLbl>
            <c:dLbl>
              <c:idx val="4"/>
              <c:dLblPos val="l"/>
              <c:showLegendKey val="0"/>
              <c:showVal val="0"/>
              <c:showCatName val="1"/>
              <c:showSerName val="0"/>
              <c:showPercent val="1"/>
              <c:separator>; </c:separator>
            </c:dLbl>
            <c:dLbl>
              <c:idx val="5"/>
              <c:dLblPos val="l"/>
              <c:showLegendKey val="0"/>
              <c:showVal val="0"/>
              <c:showCatName val="1"/>
              <c:showSerName val="0"/>
              <c:showPercent val="1"/>
              <c:separator>; </c:separator>
            </c:dLbl>
            <c:dLbl>
              <c:idx val="6"/>
              <c:dLblPos/>
              <c:showLegendKey val="0"/>
              <c:showVal val="0"/>
              <c:showCatName val="1"/>
              <c:showSerName val="0"/>
              <c:showPercent val="1"/>
              <c:separator>; </c:separator>
            </c:dLbl>
            <c:showLegendKey val="0"/>
            <c:showVal val="0"/>
            <c:showCatName val="1"/>
            <c:showSerName val="0"/>
            <c:showPercent val="1"/>
          </c:dLbls>
          <c:cat>
            <c:strRef>
              <c:f>categories</c:f>
              <c:strCache>
                <c:ptCount val="7"/>
                <c:pt idx="0">
                  <c:v>Charbon</c:v>
                </c:pt>
                <c:pt idx="1">
                  <c:v>Lignite</c:v>
                </c:pt>
                <c:pt idx="2">
                  <c:v>Pétrole</c:v>
                </c:pt>
                <c:pt idx="3">
                  <c:v>Gaz</c:v>
                </c:pt>
                <c:pt idx="4">
                  <c:v>Nucléaire</c:v>
                </c:pt>
                <c:pt idx="5">
                  <c:v>ENR</c:v>
                </c:pt>
                <c:pt idx="6">
                  <c:v/>
                </c:pt>
              </c:strCache>
            </c:strRef>
          </c:cat>
          <c:val>
            <c:numRef>
              <c:f>3</c:f>
              <c:numCache>
                <c:formatCode>General</c:formatCode>
                <c:ptCount val="7"/>
                <c:pt idx="0">
                  <c:v>0.12709188506473</c:v>
                </c:pt>
                <c:pt idx="1">
                  <c:v>0.117745500473634</c:v>
                </c:pt>
                <c:pt idx="2">
                  <c:v>0.33899589516893</c:v>
                </c:pt>
                <c:pt idx="3">
                  <c:v>0.211335648879065</c:v>
                </c:pt>
                <c:pt idx="4">
                  <c:v>0.0752131354594253</c:v>
                </c:pt>
                <c:pt idx="5">
                  <c:v>0.125418377012946</c:v>
                </c:pt>
                <c:pt idx="6">
                  <c:v>0.0181875592042943</c:v>
                </c:pt>
              </c:numCache>
            </c:numRef>
          </c:val>
        </c:ser>
        <c:ser>
          <c:idx val="1"/>
          <c:order val="1"/>
          <c:tx>
            <c:strRef>
              <c:f>label 4</c:f>
              <c:strCache>
                <c:ptCount val="1"/>
                <c:pt idx="0">
                  <c:v>#REF!</c:v>
                </c:pt>
              </c:strCache>
            </c:strRef>
          </c:tx>
          <c:spPr>
            <a:solidFill>
              <a:srgbClr val="c0504d"/>
            </a:solidFill>
            <a:ln>
              <a:noFill/>
            </a:ln>
          </c:spPr>
          <c:explosion val="0"/>
          <c:dPt>
            <c:idx val="0"/>
            <c:spPr>
              <a:solidFill>
                <a:srgbClr val="4672a8"/>
              </a:solidFill>
              <a:ln>
                <a:noFill/>
              </a:ln>
            </c:spPr>
          </c:dPt>
          <c:dPt>
            <c:idx val="1"/>
            <c:spPr>
              <a:solidFill>
                <a:srgbClr val="ab4744"/>
              </a:solidFill>
              <a:ln>
                <a:noFill/>
              </a:ln>
            </c:spPr>
          </c:dPt>
          <c:dPt>
            <c:idx val="2"/>
            <c:spPr>
              <a:solidFill>
                <a:srgbClr val="8aa64f"/>
              </a:solidFill>
              <a:ln>
                <a:noFill/>
              </a:ln>
            </c:spPr>
          </c:dPt>
          <c:dPt>
            <c:idx val="3"/>
            <c:spPr>
              <a:solidFill>
                <a:srgbClr val="725990"/>
              </a:solidFill>
              <a:ln>
                <a:noFill/>
              </a:ln>
            </c:spPr>
          </c:dPt>
          <c:dPt>
            <c:idx val="4"/>
            <c:spPr>
              <a:solidFill>
                <a:srgbClr val="4299b0"/>
              </a:solidFill>
              <a:ln>
                <a:noFill/>
              </a:ln>
            </c:spPr>
          </c:dPt>
          <c:dPt>
            <c:idx val="5"/>
            <c:spPr>
              <a:solidFill>
                <a:srgbClr val="dc853e"/>
              </a:solidFill>
              <a:ln>
                <a:noFill/>
              </a:ln>
            </c:spPr>
          </c:dPt>
          <c:dPt>
            <c:idx val="6"/>
            <c:spPr>
              <a:solidFill>
                <a:srgbClr val="93a9ce"/>
              </a:solidFill>
              <a:ln>
                <a:noFill/>
              </a:ln>
            </c:spPr>
          </c:dPt>
          <c:dLbls>
            <c:dLbl>
              <c:idx val="0"/>
              <c:dLblPos val="bestFit"/>
              <c:showLegendKey val="0"/>
              <c:showVal val="1"/>
              <c:showCatName val="0"/>
              <c:showSerName val="0"/>
              <c:showPercent val="0"/>
              <c:separator>; </c:separator>
            </c:dLbl>
            <c:dLbl>
              <c:idx val="1"/>
              <c:dLblPos val="bestFit"/>
              <c:showLegendKey val="0"/>
              <c:showVal val="1"/>
              <c:showCatName val="0"/>
              <c:showSerName val="0"/>
              <c:showPercent val="0"/>
              <c:separator>; </c:separator>
            </c:dLbl>
            <c:dLbl>
              <c:idx val="2"/>
              <c:dLblPos val="bestFit"/>
              <c:showLegendKey val="0"/>
              <c:showVal val="1"/>
              <c:showCatName val="0"/>
              <c:showSerName val="0"/>
              <c:showPercent val="0"/>
              <c:separator>; </c:separator>
            </c:dLbl>
            <c:dLbl>
              <c:idx val="3"/>
              <c:dLblPos val="bestFit"/>
              <c:showLegendKey val="0"/>
              <c:showVal val="1"/>
              <c:showCatName val="0"/>
              <c:showSerName val="0"/>
              <c:showPercent val="0"/>
              <c:separator>; </c:separator>
            </c:dLbl>
            <c:dLbl>
              <c:idx val="4"/>
              <c:dLblPos val="bestFit"/>
              <c:showLegendKey val="0"/>
              <c:showVal val="1"/>
              <c:showCatName val="0"/>
              <c:showSerName val="0"/>
              <c:showPercent val="0"/>
              <c:separator>; </c:separator>
            </c:dLbl>
            <c:dLbl>
              <c:idx val="5"/>
              <c:dLblPos val="bestFit"/>
              <c:showLegendKey val="0"/>
              <c:showVal val="1"/>
              <c:showCatName val="0"/>
              <c:showSerName val="0"/>
              <c:showPercent val="0"/>
              <c:separator>; </c:separator>
            </c:dLbl>
            <c:dLbl>
              <c:idx val="6"/>
              <c:dLblPos val="bestFit"/>
              <c:showLegendKey val="0"/>
              <c:showVal val="1"/>
              <c:showCatName val="0"/>
              <c:showSerName val="0"/>
              <c:showPercent val="0"/>
              <c:separator>; </c:separator>
            </c:dLbl>
            <c:showLegendKey val="0"/>
            <c:showVal val="1"/>
            <c:showCatName val="0"/>
            <c:showSerName val="0"/>
            <c:showPercent val="0"/>
          </c:dLbls>
          <c:cat>
            <c:strRef>
              <c:f>categories</c:f>
              <c:strCache>
                <c:ptCount val="7"/>
                <c:pt idx="0">
                  <c:v>Charbon</c:v>
                </c:pt>
                <c:pt idx="1">
                  <c:v>Lignite</c:v>
                </c:pt>
                <c:pt idx="2">
                  <c:v>Pétrole</c:v>
                </c:pt>
                <c:pt idx="3">
                  <c:v>Gaz</c:v>
                </c:pt>
                <c:pt idx="4">
                  <c:v>Nucléaire</c:v>
                </c:pt>
                <c:pt idx="5">
                  <c:v>ENR</c:v>
                </c:pt>
                <c:pt idx="6">
                  <c:v/>
                </c:pt>
              </c:strCache>
            </c:strRef>
          </c:cat>
          <c:val>
            <c:numRef>
              <c:f>4</c:f>
              <c:numCache>
                <c:formatCode>General</c:formatCode>
                <c:ptCount val="7"/>
                <c:pt idx="0">
                  <c:v>1</c:v>
                </c:pt>
                <c:pt idx="1">
                  <c:v/>
                </c:pt>
                <c:pt idx="2">
                  <c:v/>
                </c:pt>
                <c:pt idx="3">
                  <c:v/>
                </c:pt>
                <c:pt idx="4">
                  <c:v/>
                </c:pt>
                <c:pt idx="5">
                  <c:v/>
                </c:pt>
                <c:pt idx="6">
                  <c:v/>
                </c:pt>
              </c:numCache>
            </c:numRef>
          </c:val>
        </c:ser>
        <c:ser>
          <c:idx val="2"/>
          <c:order val="2"/>
          <c:tx>
            <c:strRef>
              <c:f>label 5</c:f>
              <c:strCache>
                <c:ptCount val="1"/>
                <c:pt idx="0">
                  <c:v>33,90%</c:v>
                </c:pt>
              </c:strCache>
            </c:strRef>
          </c:tx>
          <c:spPr>
            <a:solidFill>
              <a:srgbClr val="9bbb59"/>
            </a:solidFill>
            <a:ln>
              <a:noFill/>
            </a:ln>
          </c:spPr>
          <c:explosion val="0"/>
          <c:dPt>
            <c:idx val="0"/>
            <c:spPr>
              <a:solidFill>
                <a:srgbClr val="4672a8"/>
              </a:solidFill>
              <a:ln>
                <a:noFill/>
              </a:ln>
            </c:spPr>
          </c:dPt>
          <c:dPt>
            <c:idx val="1"/>
            <c:spPr>
              <a:solidFill>
                <a:srgbClr val="ab4744"/>
              </a:solidFill>
              <a:ln>
                <a:noFill/>
              </a:ln>
            </c:spPr>
          </c:dPt>
          <c:dPt>
            <c:idx val="2"/>
            <c:spPr>
              <a:solidFill>
                <a:srgbClr val="8aa64f"/>
              </a:solidFill>
              <a:ln>
                <a:noFill/>
              </a:ln>
            </c:spPr>
          </c:dPt>
          <c:dPt>
            <c:idx val="3"/>
            <c:spPr>
              <a:solidFill>
                <a:srgbClr val="725990"/>
              </a:solidFill>
              <a:ln>
                <a:noFill/>
              </a:ln>
            </c:spPr>
          </c:dPt>
          <c:dPt>
            <c:idx val="4"/>
            <c:spPr>
              <a:solidFill>
                <a:srgbClr val="4299b0"/>
              </a:solidFill>
              <a:ln>
                <a:noFill/>
              </a:ln>
            </c:spPr>
          </c:dPt>
          <c:dPt>
            <c:idx val="5"/>
            <c:spPr>
              <a:solidFill>
                <a:srgbClr val="dc853e"/>
              </a:solidFill>
              <a:ln>
                <a:noFill/>
              </a:ln>
            </c:spPr>
          </c:dPt>
          <c:dPt>
            <c:idx val="6"/>
            <c:spPr>
              <a:solidFill>
                <a:srgbClr val="93a9ce"/>
              </a:solidFill>
              <a:ln>
                <a:noFill/>
              </a:ln>
            </c:spPr>
          </c:dPt>
          <c:dLbls>
            <c:dLbl>
              <c:idx val="0"/>
              <c:dLblPos val="bestFit"/>
              <c:showLegendKey val="0"/>
              <c:showVal val="1"/>
              <c:showCatName val="0"/>
              <c:showSerName val="0"/>
              <c:showPercent val="0"/>
              <c:separator>; </c:separator>
            </c:dLbl>
            <c:dLbl>
              <c:idx val="1"/>
              <c:dLblPos val="bestFit"/>
              <c:showLegendKey val="0"/>
              <c:showVal val="1"/>
              <c:showCatName val="0"/>
              <c:showSerName val="0"/>
              <c:showPercent val="0"/>
              <c:separator>; </c:separator>
            </c:dLbl>
            <c:dLbl>
              <c:idx val="2"/>
              <c:dLblPos val="bestFit"/>
              <c:showLegendKey val="0"/>
              <c:showVal val="1"/>
              <c:showCatName val="0"/>
              <c:showSerName val="0"/>
              <c:showPercent val="0"/>
              <c:separator>; </c:separator>
            </c:dLbl>
            <c:dLbl>
              <c:idx val="3"/>
              <c:dLblPos val="bestFit"/>
              <c:showLegendKey val="0"/>
              <c:showVal val="1"/>
              <c:showCatName val="0"/>
              <c:showSerName val="0"/>
              <c:showPercent val="0"/>
              <c:separator>; </c:separator>
            </c:dLbl>
            <c:dLbl>
              <c:idx val="4"/>
              <c:dLblPos val="bestFit"/>
              <c:showLegendKey val="0"/>
              <c:showVal val="1"/>
              <c:showCatName val="0"/>
              <c:showSerName val="0"/>
              <c:showPercent val="0"/>
              <c:separator>; </c:separator>
            </c:dLbl>
            <c:dLbl>
              <c:idx val="5"/>
              <c:dLblPos val="bestFit"/>
              <c:showLegendKey val="0"/>
              <c:showVal val="1"/>
              <c:showCatName val="0"/>
              <c:showSerName val="0"/>
              <c:showPercent val="0"/>
              <c:separator>; </c:separator>
            </c:dLbl>
            <c:dLbl>
              <c:idx val="6"/>
              <c:dLblPos val="bestFit"/>
              <c:showLegendKey val="0"/>
              <c:showVal val="1"/>
              <c:showCatName val="0"/>
              <c:showSerName val="0"/>
              <c:showPercent val="0"/>
              <c:separator>; </c:separator>
            </c:dLbl>
            <c:showLegendKey val="0"/>
            <c:showVal val="1"/>
            <c:showCatName val="0"/>
            <c:showSerName val="0"/>
            <c:showPercent val="0"/>
          </c:dLbls>
          <c:cat>
            <c:strRef>
              <c:f>categories</c:f>
              <c:strCache>
                <c:ptCount val="7"/>
                <c:pt idx="0">
                  <c:v>Charbon</c:v>
                </c:pt>
                <c:pt idx="1">
                  <c:v>Lignite</c:v>
                </c:pt>
                <c:pt idx="2">
                  <c:v>Pétrole</c:v>
                </c:pt>
                <c:pt idx="3">
                  <c:v>Gaz</c:v>
                </c:pt>
                <c:pt idx="4">
                  <c:v>Nucléaire</c:v>
                </c:pt>
                <c:pt idx="5">
                  <c:v>ENR</c:v>
                </c:pt>
                <c:pt idx="6">
                  <c:v/>
                </c:pt>
              </c:strCache>
            </c:strRef>
          </c:cat>
          <c:val>
            <c:numRef>
              <c:f>5</c:f>
              <c:numCache>
                <c:formatCode>General</c:formatCode>
                <c:ptCount val="7"/>
                <c:pt idx="0">
                  <c:v>1</c:v>
                </c:pt>
                <c:pt idx="1">
                  <c:v/>
                </c:pt>
                <c:pt idx="2">
                  <c:v/>
                </c:pt>
                <c:pt idx="3">
                  <c:v/>
                </c:pt>
                <c:pt idx="4">
                  <c:v/>
                </c:pt>
                <c:pt idx="5">
                  <c:v/>
                </c:pt>
                <c:pt idx="6">
                  <c:v/>
                </c:pt>
              </c:numCache>
            </c:numRef>
          </c:val>
        </c:ser>
        <c:ser>
          <c:idx val="3"/>
          <c:order val="3"/>
          <c:tx>
            <c:strRef>
              <c:f>label 6</c:f>
              <c:strCache>
                <c:ptCount val="1"/>
                <c:pt idx="0">
                  <c:v>21,13%</c:v>
                </c:pt>
              </c:strCache>
            </c:strRef>
          </c:tx>
          <c:spPr>
            <a:solidFill>
              <a:srgbClr val="8064a2"/>
            </a:solidFill>
            <a:ln>
              <a:noFill/>
            </a:ln>
          </c:spPr>
          <c:explosion val="0"/>
          <c:dPt>
            <c:idx val="0"/>
            <c:spPr>
              <a:solidFill>
                <a:srgbClr val="4672a8"/>
              </a:solidFill>
              <a:ln>
                <a:noFill/>
              </a:ln>
            </c:spPr>
          </c:dPt>
          <c:dPt>
            <c:idx val="1"/>
            <c:spPr>
              <a:solidFill>
                <a:srgbClr val="ab4744"/>
              </a:solidFill>
              <a:ln>
                <a:noFill/>
              </a:ln>
            </c:spPr>
          </c:dPt>
          <c:dPt>
            <c:idx val="2"/>
            <c:spPr>
              <a:solidFill>
                <a:srgbClr val="8aa64f"/>
              </a:solidFill>
              <a:ln>
                <a:noFill/>
              </a:ln>
            </c:spPr>
          </c:dPt>
          <c:dPt>
            <c:idx val="3"/>
            <c:spPr>
              <a:solidFill>
                <a:srgbClr val="725990"/>
              </a:solidFill>
              <a:ln>
                <a:noFill/>
              </a:ln>
            </c:spPr>
          </c:dPt>
          <c:dPt>
            <c:idx val="4"/>
            <c:spPr>
              <a:solidFill>
                <a:srgbClr val="4299b0"/>
              </a:solidFill>
              <a:ln>
                <a:noFill/>
              </a:ln>
            </c:spPr>
          </c:dPt>
          <c:dPt>
            <c:idx val="5"/>
            <c:spPr>
              <a:solidFill>
                <a:srgbClr val="dc853e"/>
              </a:solidFill>
              <a:ln>
                <a:noFill/>
              </a:ln>
            </c:spPr>
          </c:dPt>
          <c:dPt>
            <c:idx val="6"/>
            <c:spPr>
              <a:solidFill>
                <a:srgbClr val="93a9ce"/>
              </a:solidFill>
              <a:ln>
                <a:noFill/>
              </a:ln>
            </c:spPr>
          </c:dPt>
          <c:dLbls>
            <c:dLbl>
              <c:idx val="0"/>
              <c:dLblPos val="bestFit"/>
              <c:showLegendKey val="0"/>
              <c:showVal val="1"/>
              <c:showCatName val="0"/>
              <c:showSerName val="0"/>
              <c:showPercent val="0"/>
              <c:separator>; </c:separator>
            </c:dLbl>
            <c:dLbl>
              <c:idx val="1"/>
              <c:dLblPos val="bestFit"/>
              <c:showLegendKey val="0"/>
              <c:showVal val="1"/>
              <c:showCatName val="0"/>
              <c:showSerName val="0"/>
              <c:showPercent val="0"/>
              <c:separator>; </c:separator>
            </c:dLbl>
            <c:dLbl>
              <c:idx val="2"/>
              <c:dLblPos val="bestFit"/>
              <c:showLegendKey val="0"/>
              <c:showVal val="1"/>
              <c:showCatName val="0"/>
              <c:showSerName val="0"/>
              <c:showPercent val="0"/>
              <c:separator>; </c:separator>
            </c:dLbl>
            <c:dLbl>
              <c:idx val="3"/>
              <c:dLblPos val="bestFit"/>
              <c:showLegendKey val="0"/>
              <c:showVal val="1"/>
              <c:showCatName val="0"/>
              <c:showSerName val="0"/>
              <c:showPercent val="0"/>
              <c:separator>; </c:separator>
            </c:dLbl>
            <c:dLbl>
              <c:idx val="4"/>
              <c:dLblPos val="bestFit"/>
              <c:showLegendKey val="0"/>
              <c:showVal val="1"/>
              <c:showCatName val="0"/>
              <c:showSerName val="0"/>
              <c:showPercent val="0"/>
              <c:separator>; </c:separator>
            </c:dLbl>
            <c:dLbl>
              <c:idx val="5"/>
              <c:dLblPos val="bestFit"/>
              <c:showLegendKey val="0"/>
              <c:showVal val="1"/>
              <c:showCatName val="0"/>
              <c:showSerName val="0"/>
              <c:showPercent val="0"/>
              <c:separator>; </c:separator>
            </c:dLbl>
            <c:dLbl>
              <c:idx val="6"/>
              <c:dLblPos val="bestFit"/>
              <c:showLegendKey val="0"/>
              <c:showVal val="1"/>
              <c:showCatName val="0"/>
              <c:showSerName val="0"/>
              <c:showPercent val="0"/>
              <c:separator>; </c:separator>
            </c:dLbl>
            <c:showLegendKey val="0"/>
            <c:showVal val="1"/>
            <c:showCatName val="0"/>
            <c:showSerName val="0"/>
            <c:showPercent val="0"/>
          </c:dLbls>
          <c:cat>
            <c:strRef>
              <c:f>categories</c:f>
              <c:strCache>
                <c:ptCount val="7"/>
                <c:pt idx="0">
                  <c:v>Charbon</c:v>
                </c:pt>
                <c:pt idx="1">
                  <c:v>Lignite</c:v>
                </c:pt>
                <c:pt idx="2">
                  <c:v>Pétrole</c:v>
                </c:pt>
                <c:pt idx="3">
                  <c:v>Gaz</c:v>
                </c:pt>
                <c:pt idx="4">
                  <c:v>Nucléaire</c:v>
                </c:pt>
                <c:pt idx="5">
                  <c:v>ENR</c:v>
                </c:pt>
                <c:pt idx="6">
                  <c:v/>
                </c:pt>
              </c:strCache>
            </c:strRef>
          </c:cat>
          <c:val>
            <c:numRef>
              <c:f>6</c:f>
              <c:numCache>
                <c:formatCode>General</c:formatCode>
                <c:ptCount val="7"/>
                <c:pt idx="0">
                  <c:v>1</c:v>
                </c:pt>
                <c:pt idx="1">
                  <c:v/>
                </c:pt>
                <c:pt idx="2">
                  <c:v/>
                </c:pt>
                <c:pt idx="3">
                  <c:v/>
                </c:pt>
                <c:pt idx="4">
                  <c:v/>
                </c:pt>
                <c:pt idx="5">
                  <c:v/>
                </c:pt>
                <c:pt idx="6">
                  <c:v/>
                </c:pt>
              </c:numCache>
            </c:numRef>
          </c:val>
        </c:ser>
        <c:ser>
          <c:idx val="4"/>
          <c:order val="4"/>
          <c:tx>
            <c:strRef>
              <c:f>label 7</c:f>
              <c:strCache>
                <c:ptCount val="1"/>
                <c:pt idx="0">
                  <c:v>12,54%</c:v>
                </c:pt>
              </c:strCache>
            </c:strRef>
          </c:tx>
          <c:spPr>
            <a:solidFill>
              <a:srgbClr val="4bacc6"/>
            </a:solidFill>
            <a:ln>
              <a:noFill/>
            </a:ln>
          </c:spPr>
          <c:explosion val="0"/>
          <c:dPt>
            <c:idx val="0"/>
            <c:spPr>
              <a:solidFill>
                <a:srgbClr val="4672a8"/>
              </a:solidFill>
              <a:ln>
                <a:noFill/>
              </a:ln>
            </c:spPr>
          </c:dPt>
          <c:dPt>
            <c:idx val="1"/>
            <c:spPr>
              <a:solidFill>
                <a:srgbClr val="ab4744"/>
              </a:solidFill>
              <a:ln>
                <a:noFill/>
              </a:ln>
            </c:spPr>
          </c:dPt>
          <c:dPt>
            <c:idx val="2"/>
            <c:spPr>
              <a:solidFill>
                <a:srgbClr val="8aa64f"/>
              </a:solidFill>
              <a:ln>
                <a:noFill/>
              </a:ln>
            </c:spPr>
          </c:dPt>
          <c:dPt>
            <c:idx val="3"/>
            <c:spPr>
              <a:solidFill>
                <a:srgbClr val="725990"/>
              </a:solidFill>
              <a:ln>
                <a:noFill/>
              </a:ln>
            </c:spPr>
          </c:dPt>
          <c:dPt>
            <c:idx val="4"/>
            <c:spPr>
              <a:solidFill>
                <a:srgbClr val="4299b0"/>
              </a:solidFill>
              <a:ln>
                <a:noFill/>
              </a:ln>
            </c:spPr>
          </c:dPt>
          <c:dPt>
            <c:idx val="5"/>
            <c:spPr>
              <a:solidFill>
                <a:srgbClr val="dc853e"/>
              </a:solidFill>
              <a:ln>
                <a:noFill/>
              </a:ln>
            </c:spPr>
          </c:dPt>
          <c:dPt>
            <c:idx val="6"/>
            <c:spPr>
              <a:solidFill>
                <a:srgbClr val="93a9ce"/>
              </a:solidFill>
              <a:ln>
                <a:noFill/>
              </a:ln>
            </c:spPr>
          </c:dPt>
          <c:dLbls>
            <c:dLbl>
              <c:idx val="0"/>
              <c:dLblPos val="bestFit"/>
              <c:showLegendKey val="0"/>
              <c:showVal val="1"/>
              <c:showCatName val="0"/>
              <c:showSerName val="0"/>
              <c:showPercent val="0"/>
              <c:separator>; </c:separator>
            </c:dLbl>
            <c:dLbl>
              <c:idx val="1"/>
              <c:dLblPos val="bestFit"/>
              <c:showLegendKey val="0"/>
              <c:showVal val="1"/>
              <c:showCatName val="0"/>
              <c:showSerName val="0"/>
              <c:showPercent val="0"/>
              <c:separator>; </c:separator>
            </c:dLbl>
            <c:dLbl>
              <c:idx val="2"/>
              <c:dLblPos val="bestFit"/>
              <c:showLegendKey val="0"/>
              <c:showVal val="1"/>
              <c:showCatName val="0"/>
              <c:showSerName val="0"/>
              <c:showPercent val="0"/>
              <c:separator>; </c:separator>
            </c:dLbl>
            <c:dLbl>
              <c:idx val="3"/>
              <c:dLblPos val="bestFit"/>
              <c:showLegendKey val="0"/>
              <c:showVal val="1"/>
              <c:showCatName val="0"/>
              <c:showSerName val="0"/>
              <c:showPercent val="0"/>
              <c:separator>; </c:separator>
            </c:dLbl>
            <c:dLbl>
              <c:idx val="4"/>
              <c:dLblPos val="bestFit"/>
              <c:showLegendKey val="0"/>
              <c:showVal val="1"/>
              <c:showCatName val="0"/>
              <c:showSerName val="0"/>
              <c:showPercent val="0"/>
              <c:separator>; </c:separator>
            </c:dLbl>
            <c:dLbl>
              <c:idx val="5"/>
              <c:dLblPos val="bestFit"/>
              <c:showLegendKey val="0"/>
              <c:showVal val="1"/>
              <c:showCatName val="0"/>
              <c:showSerName val="0"/>
              <c:showPercent val="0"/>
              <c:separator>; </c:separator>
            </c:dLbl>
            <c:dLbl>
              <c:idx val="6"/>
              <c:dLblPos val="bestFit"/>
              <c:showLegendKey val="0"/>
              <c:showVal val="1"/>
              <c:showCatName val="0"/>
              <c:showSerName val="0"/>
              <c:showPercent val="0"/>
              <c:separator>; </c:separator>
            </c:dLbl>
            <c:showLegendKey val="0"/>
            <c:showVal val="1"/>
            <c:showCatName val="0"/>
            <c:showSerName val="0"/>
            <c:showPercent val="0"/>
          </c:dLbls>
          <c:cat>
            <c:strRef>
              <c:f>categories</c:f>
              <c:strCache>
                <c:ptCount val="7"/>
                <c:pt idx="0">
                  <c:v>Charbon</c:v>
                </c:pt>
                <c:pt idx="1">
                  <c:v>Lignite</c:v>
                </c:pt>
                <c:pt idx="2">
                  <c:v>Pétrole</c:v>
                </c:pt>
                <c:pt idx="3">
                  <c:v>Gaz</c:v>
                </c:pt>
                <c:pt idx="4">
                  <c:v>Nucléaire</c:v>
                </c:pt>
                <c:pt idx="5">
                  <c:v>ENR</c:v>
                </c:pt>
                <c:pt idx="6">
                  <c:v/>
                </c:pt>
              </c:strCache>
            </c:strRef>
          </c:cat>
          <c:val>
            <c:numRef>
              <c:f>7</c:f>
              <c:numCache>
                <c:formatCode>General</c:formatCode>
                <c:ptCount val="7"/>
                <c:pt idx="0">
                  <c:v>1</c:v>
                </c:pt>
                <c:pt idx="1">
                  <c:v/>
                </c:pt>
                <c:pt idx="2">
                  <c:v/>
                </c:pt>
                <c:pt idx="3">
                  <c:v/>
                </c:pt>
                <c:pt idx="4">
                  <c:v/>
                </c:pt>
                <c:pt idx="5">
                  <c:v/>
                </c:pt>
                <c:pt idx="6">
                  <c:v/>
                </c:pt>
              </c:numCache>
            </c:numRef>
          </c:val>
        </c:ser>
        <c:ser>
          <c:idx val="5"/>
          <c:order val="5"/>
          <c:tx>
            <c:strRef>
              <c:f>label 8</c:f>
              <c:strCache>
                <c:ptCount val="1"/>
                <c:pt idx="0">
                  <c:v>1,82%</c:v>
                </c:pt>
              </c:strCache>
            </c:strRef>
          </c:tx>
          <c:spPr>
            <a:solidFill>
              <a:srgbClr val="f79646"/>
            </a:solidFill>
            <a:ln>
              <a:noFill/>
            </a:ln>
          </c:spPr>
          <c:explosion val="0"/>
          <c:dPt>
            <c:idx val="0"/>
            <c:spPr>
              <a:solidFill>
                <a:srgbClr val="4672a8"/>
              </a:solidFill>
              <a:ln>
                <a:noFill/>
              </a:ln>
            </c:spPr>
          </c:dPt>
          <c:dPt>
            <c:idx val="1"/>
            <c:spPr>
              <a:solidFill>
                <a:srgbClr val="ab4744"/>
              </a:solidFill>
              <a:ln>
                <a:noFill/>
              </a:ln>
            </c:spPr>
          </c:dPt>
          <c:dPt>
            <c:idx val="2"/>
            <c:spPr>
              <a:solidFill>
                <a:srgbClr val="8aa64f"/>
              </a:solidFill>
              <a:ln>
                <a:noFill/>
              </a:ln>
            </c:spPr>
          </c:dPt>
          <c:dPt>
            <c:idx val="3"/>
            <c:spPr>
              <a:solidFill>
                <a:srgbClr val="725990"/>
              </a:solidFill>
              <a:ln>
                <a:noFill/>
              </a:ln>
            </c:spPr>
          </c:dPt>
          <c:dPt>
            <c:idx val="4"/>
            <c:spPr>
              <a:solidFill>
                <a:srgbClr val="4299b0"/>
              </a:solidFill>
              <a:ln>
                <a:noFill/>
              </a:ln>
            </c:spPr>
          </c:dPt>
          <c:dPt>
            <c:idx val="5"/>
            <c:spPr>
              <a:solidFill>
                <a:srgbClr val="dc853e"/>
              </a:solidFill>
              <a:ln>
                <a:noFill/>
              </a:ln>
            </c:spPr>
          </c:dPt>
          <c:dPt>
            <c:idx val="6"/>
            <c:spPr>
              <a:solidFill>
                <a:srgbClr val="93a9ce"/>
              </a:solidFill>
              <a:ln>
                <a:noFill/>
              </a:ln>
            </c:spPr>
          </c:dPt>
          <c:dLbls>
            <c:dLbl>
              <c:idx val="0"/>
              <c:dLblPos val="bestFit"/>
              <c:showLegendKey val="0"/>
              <c:showVal val="1"/>
              <c:showCatName val="0"/>
              <c:showSerName val="0"/>
              <c:showPercent val="0"/>
              <c:separator>; </c:separator>
            </c:dLbl>
            <c:dLbl>
              <c:idx val="1"/>
              <c:dLblPos val="bestFit"/>
              <c:showLegendKey val="0"/>
              <c:showVal val="1"/>
              <c:showCatName val="0"/>
              <c:showSerName val="0"/>
              <c:showPercent val="0"/>
              <c:separator>; </c:separator>
            </c:dLbl>
            <c:dLbl>
              <c:idx val="2"/>
              <c:dLblPos val="bestFit"/>
              <c:showLegendKey val="0"/>
              <c:showVal val="1"/>
              <c:showCatName val="0"/>
              <c:showSerName val="0"/>
              <c:showPercent val="0"/>
              <c:separator>; </c:separator>
            </c:dLbl>
            <c:dLbl>
              <c:idx val="3"/>
              <c:dLblPos val="bestFit"/>
              <c:showLegendKey val="0"/>
              <c:showVal val="1"/>
              <c:showCatName val="0"/>
              <c:showSerName val="0"/>
              <c:showPercent val="0"/>
              <c:separator>; </c:separator>
            </c:dLbl>
            <c:dLbl>
              <c:idx val="4"/>
              <c:dLblPos val="bestFit"/>
              <c:showLegendKey val="0"/>
              <c:showVal val="1"/>
              <c:showCatName val="0"/>
              <c:showSerName val="0"/>
              <c:showPercent val="0"/>
              <c:separator>; </c:separator>
            </c:dLbl>
            <c:dLbl>
              <c:idx val="5"/>
              <c:dLblPos val="bestFit"/>
              <c:showLegendKey val="0"/>
              <c:showVal val="1"/>
              <c:showCatName val="0"/>
              <c:showSerName val="0"/>
              <c:showPercent val="0"/>
              <c:separator>; </c:separator>
            </c:dLbl>
            <c:dLbl>
              <c:idx val="6"/>
              <c:dLblPos val="bestFit"/>
              <c:showLegendKey val="0"/>
              <c:showVal val="1"/>
              <c:showCatName val="0"/>
              <c:showSerName val="0"/>
              <c:showPercent val="0"/>
              <c:separator>; </c:separator>
            </c:dLbl>
            <c:showLegendKey val="0"/>
            <c:showVal val="1"/>
            <c:showCatName val="0"/>
            <c:showSerName val="0"/>
            <c:showPercent val="0"/>
          </c:dLbls>
          <c:cat>
            <c:strRef>
              <c:f>categories</c:f>
              <c:strCache>
                <c:ptCount val="7"/>
                <c:pt idx="0">
                  <c:v>Charbon</c:v>
                </c:pt>
                <c:pt idx="1">
                  <c:v>Lignite</c:v>
                </c:pt>
                <c:pt idx="2">
                  <c:v>Pétrole</c:v>
                </c:pt>
                <c:pt idx="3">
                  <c:v>Gaz</c:v>
                </c:pt>
                <c:pt idx="4">
                  <c:v>Nucléaire</c:v>
                </c:pt>
                <c:pt idx="5">
                  <c:v>ENR</c:v>
                </c:pt>
                <c:pt idx="6">
                  <c:v/>
                </c:pt>
              </c:strCache>
            </c:strRef>
          </c:cat>
          <c:val>
            <c:numRef>
              <c:f>8</c:f>
              <c:numCache>
                <c:formatCode>General</c:formatCode>
                <c:ptCount val="7"/>
                <c:pt idx="0">
                  <c:v>1</c:v>
                </c:pt>
                <c:pt idx="1">
                  <c:v/>
                </c:pt>
                <c:pt idx="2">
                  <c:v/>
                </c:pt>
                <c:pt idx="3">
                  <c:v/>
                </c:pt>
                <c:pt idx="4">
                  <c:v/>
                </c:pt>
                <c:pt idx="5">
                  <c:v/>
                </c:pt>
                <c:pt idx="6">
                  <c:v/>
                </c:pt>
              </c:numCache>
            </c:numRef>
          </c:val>
        </c:ser>
        <c:firstSliceAng val="0"/>
      </c:pieChart>
      <c:spPr>
        <a:solidFill>
          <a:srgbClr val="ffffff"/>
        </a:solidFill>
        <a:ln>
          <a:noFill/>
        </a:ln>
      </c:spPr>
    </c:plotArea>
    <c:plotVisOnly val="1"/>
  </c:chart>
  <c:spPr>
    <a:noFill/>
    <a:ln>
      <a:noFill/>
    </a:ln>
  </c:spPr>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b="1">
                <a:solidFill>
                  <a:srgbClr val="000000"/>
                </a:solidFill>
                <a:latin typeface="Calibri"/>
              </a:rPr>
              <a:t> Energies primaires   </a:t>
            </a:r>
          </a:p>
        </c:rich>
      </c:tx>
      <c:layout/>
    </c:title>
    <c:plotArea>
      <c:layout/>
      <c:pieChart>
        <c:varyColors val="1"/>
        <c:ser>
          <c:idx val="0"/>
          <c:order val="0"/>
          <c:tx>
            <c:strRef>
              <c:f>label 0</c:f>
              <c:strCache>
                <c:ptCount val="1"/>
                <c:pt idx="0">
                  <c:v/>
                </c:pt>
              </c:strCache>
            </c:strRef>
          </c:tx>
          <c:spPr>
            <a:solidFill>
              <a:srgbClr val="9bbb59"/>
            </a:solidFill>
            <a:ln>
              <a:noFill/>
            </a:ln>
          </c:spPr>
          <c:explosion val="0"/>
          <c:dPt>
            <c:idx val="0"/>
            <c:spPr>
              <a:solidFill>
                <a:srgbClr val="4672a8"/>
              </a:solidFill>
              <a:ln>
                <a:noFill/>
              </a:ln>
            </c:spPr>
          </c:dPt>
          <c:dPt>
            <c:idx val="1"/>
            <c:spPr>
              <a:solidFill>
                <a:srgbClr val="ab4744"/>
              </a:solidFill>
              <a:ln>
                <a:noFill/>
              </a:ln>
            </c:spPr>
          </c:dPt>
          <c:dPt>
            <c:idx val="2"/>
            <c:spPr>
              <a:solidFill>
                <a:srgbClr val="8aa64f"/>
              </a:solidFill>
              <a:ln>
                <a:noFill/>
              </a:ln>
            </c:spPr>
          </c:dPt>
          <c:dPt>
            <c:idx val="3"/>
            <c:spPr>
              <a:solidFill>
                <a:srgbClr val="725990"/>
              </a:solidFill>
              <a:ln>
                <a:noFill/>
              </a:ln>
            </c:spPr>
          </c:dPt>
          <c:dPt>
            <c:idx val="4"/>
            <c:spPr>
              <a:solidFill>
                <a:srgbClr val="4299b0"/>
              </a:solidFill>
              <a:ln>
                <a:noFill/>
              </a:ln>
            </c:spPr>
          </c:dPt>
          <c:dPt>
            <c:idx val="5"/>
            <c:spPr>
              <a:solidFill>
                <a:srgbClr val="dc853e"/>
              </a:solidFill>
              <a:ln>
                <a:noFill/>
              </a:ln>
            </c:spPr>
          </c:dPt>
          <c:dPt>
            <c:idx val="6"/>
            <c:spPr>
              <a:solidFill>
                <a:srgbClr val="93a9ce"/>
              </a:solidFill>
              <a:ln>
                <a:noFill/>
              </a:ln>
            </c:spPr>
          </c:dPt>
          <c:dPt>
            <c:idx val="7"/>
            <c:spPr>
              <a:solidFill>
                <a:srgbClr val="d09493"/>
              </a:solidFill>
              <a:ln>
                <a:noFill/>
              </a:ln>
            </c:spPr>
          </c:dPt>
          <c:dLbls>
            <c:dLbl>
              <c:idx val="0"/>
              <c:dLblPos val="r"/>
              <c:showLegendKey val="0"/>
              <c:showVal val="0"/>
              <c:showCatName val="0"/>
              <c:showSerName val="0"/>
              <c:showPercent val="1"/>
              <c:separator>; </c:separator>
            </c:dLbl>
            <c:dLbl>
              <c:idx val="1"/>
              <c:dLblPos val="r"/>
              <c:showLegendKey val="0"/>
              <c:showVal val="0"/>
              <c:showCatName val="0"/>
              <c:showSerName val="0"/>
              <c:showPercent val="1"/>
              <c:separator>; </c:separator>
            </c:dLbl>
            <c:dLbl>
              <c:idx val="2"/>
              <c:dLblPos/>
              <c:showLegendKey val="0"/>
              <c:showVal val="0"/>
              <c:showCatName val="0"/>
              <c:showSerName val="0"/>
              <c:showPercent val="1"/>
              <c:separator>; </c:separator>
            </c:dLbl>
            <c:dLbl>
              <c:idx val="3"/>
              <c:dLblPos val="l"/>
              <c:showLegendKey val="0"/>
              <c:showVal val="0"/>
              <c:showCatName val="0"/>
              <c:showSerName val="0"/>
              <c:showPercent val="1"/>
              <c:separator>; </c:separator>
            </c:dLbl>
            <c:dLbl>
              <c:idx val="4"/>
              <c:dLblPos/>
              <c:showLegendKey val="0"/>
              <c:showVal val="0"/>
              <c:showCatName val="0"/>
              <c:showSerName val="0"/>
              <c:showPercent val="1"/>
              <c:separator>; </c:separator>
            </c:dLbl>
            <c:dLbl>
              <c:idx val="5"/>
              <c:dLblPos val="l"/>
              <c:showLegendKey val="0"/>
              <c:showVal val="0"/>
              <c:showCatName val="0"/>
              <c:showSerName val="0"/>
              <c:showPercent val="1"/>
              <c:separator>; </c:separator>
            </c:dLbl>
            <c:dLbl>
              <c:idx val="6"/>
              <c:dLblPos val="l"/>
              <c:showLegendKey val="0"/>
              <c:showVal val="0"/>
              <c:showCatName val="0"/>
              <c:showSerName val="0"/>
              <c:showPercent val="1"/>
              <c:separator>; </c:separator>
            </c:dLbl>
            <c:dLbl>
              <c:idx val="7"/>
              <c:dLblPos val="t"/>
              <c:showLegendKey val="0"/>
              <c:showVal val="0"/>
              <c:showCatName val="0"/>
              <c:showSerName val="0"/>
              <c:showPercent val="1"/>
              <c:separator>; </c:separator>
            </c:dLbl>
            <c:showLegendKey val="0"/>
            <c:showVal val="0"/>
            <c:showCatName val="0"/>
            <c:showSerName val="0"/>
            <c:showPercent val="1"/>
          </c:dLbls>
          <c:cat>
            <c:strRef>
              <c:f>categories</c:f>
              <c:strCache>
                <c:ptCount val="8"/>
                <c:pt idx="0">
                  <c:v>Charbon</c:v>
                </c:pt>
                <c:pt idx="1">
                  <c:v>Lignite</c:v>
                </c:pt>
                <c:pt idx="2">
                  <c:v>Pétrole</c:v>
                </c:pt>
                <c:pt idx="3">
                  <c:v>Gaz</c:v>
                </c:pt>
                <c:pt idx="4">
                  <c:v>Nucléaire</c:v>
                </c:pt>
                <c:pt idx="5">
                  <c:v>ENR</c:v>
                </c:pt>
                <c:pt idx="6">
                  <c:v>Divers</c:v>
                </c:pt>
                <c:pt idx="7">
                  <c:v>Export électricté</c:v>
                </c:pt>
              </c:strCache>
            </c:strRef>
          </c:cat>
          <c:val>
            <c:numRef>
              <c:f>3</c:f>
              <c:numCache>
                <c:formatCode>General</c:formatCode>
                <c:ptCount val="8"/>
                <c:pt idx="0">
                  <c:v>0.12709188506473</c:v>
                </c:pt>
                <c:pt idx="1">
                  <c:v>0.117745500473634</c:v>
                </c:pt>
                <c:pt idx="2">
                  <c:v>0.33899589516893</c:v>
                </c:pt>
                <c:pt idx="3">
                  <c:v>0.211335648879065</c:v>
                </c:pt>
                <c:pt idx="4">
                  <c:v>0.0752131354594253</c:v>
                </c:pt>
                <c:pt idx="5">
                  <c:v>0.125418377012946</c:v>
                </c:pt>
                <c:pt idx="6">
                  <c:v>0.0181875592042943</c:v>
                </c:pt>
                <c:pt idx="7">
                  <c:v>-0.0139880012630249</c:v>
                </c:pt>
              </c:numCache>
            </c:numRef>
          </c:val>
        </c:ser>
        <c:firstSliceAng val="0"/>
      </c:pieChart>
      <c:spPr>
        <a:solidFill>
          <a:srgbClr val="ffffff"/>
        </a:solidFill>
        <a:ln>
          <a:noFill/>
        </a:ln>
      </c:spPr>
    </c:plotArea>
    <c:plotVisOnly val="1"/>
  </c:chart>
  <c:spPr>
    <a:noFill/>
    <a:ln>
      <a:noFill/>
    </a:ln>
  </c:spPr>
</c:chartSpace>
</file>

<file path=word/charts/chart5.xml><?xml version="1.0" encoding="utf-8"?>
<c:chartSpace xmlns:c="http://schemas.openxmlformats.org/drawingml/2006/chart" xmlns:a="http://schemas.openxmlformats.org/drawingml/2006/main" xmlns:r="http://schemas.openxmlformats.org/officeDocument/2006/relationships">
  <c:lang val="en-US"/>
  <c:chart>
    <c:plotArea>
      <c:layout/>
      <c:pieChart>
        <c:varyColors val="1"/>
        <c:ser>
          <c:idx val="0"/>
          <c:order val="0"/>
          <c:tx>
            <c:strRef>
              <c:f>label 0</c:f>
              <c:strCache>
                <c:ptCount val="1"/>
                <c:pt idx="0">
                  <c:v/>
                </c:pt>
              </c:strCache>
            </c:strRef>
          </c:tx>
          <c:spPr>
            <a:solidFill>
              <a:srgbClr val="4f81bd"/>
            </a:solidFill>
            <a:ln>
              <a:noFill/>
            </a:ln>
          </c:spPr>
          <c:explosion val="0"/>
          <c:dPt>
            <c:idx val="0"/>
            <c:spPr>
              <a:solidFill>
                <a:srgbClr val="4672a8"/>
              </a:solidFill>
              <a:ln>
                <a:noFill/>
              </a:ln>
            </c:spPr>
          </c:dPt>
          <c:dPt>
            <c:idx val="1"/>
            <c:spPr>
              <a:solidFill>
                <a:srgbClr val="ab4744"/>
              </a:solidFill>
              <a:ln>
                <a:noFill/>
              </a:ln>
            </c:spPr>
          </c:dPt>
          <c:dPt>
            <c:idx val="2"/>
            <c:spPr>
              <a:solidFill>
                <a:srgbClr val="8aa64f"/>
              </a:solidFill>
              <a:ln>
                <a:noFill/>
              </a:ln>
            </c:spPr>
          </c:dPt>
          <c:dPt>
            <c:idx val="3"/>
            <c:spPr>
              <a:solidFill>
                <a:srgbClr val="725990"/>
              </a:solidFill>
              <a:ln>
                <a:noFill/>
              </a:ln>
            </c:spPr>
          </c:dPt>
          <c:dPt>
            <c:idx val="4"/>
            <c:spPr>
              <a:solidFill>
                <a:srgbClr val="4299b0"/>
              </a:solidFill>
              <a:ln>
                <a:noFill/>
              </a:ln>
            </c:spPr>
          </c:dPt>
          <c:dPt>
            <c:idx val="5"/>
            <c:spPr>
              <a:solidFill>
                <a:srgbClr val="dc853e"/>
              </a:solidFill>
              <a:ln>
                <a:noFill/>
              </a:ln>
            </c:spPr>
          </c:dPt>
          <c:dPt>
            <c:idx val="6"/>
            <c:spPr>
              <a:solidFill>
                <a:srgbClr val="93a9ce"/>
              </a:solidFill>
              <a:ln>
                <a:noFill/>
              </a:ln>
            </c:spPr>
          </c:dPt>
          <c:dPt>
            <c:idx val="7"/>
            <c:spPr>
              <a:solidFill>
                <a:srgbClr val="d09493"/>
              </a:solidFill>
              <a:ln>
                <a:noFill/>
              </a:ln>
            </c:spPr>
          </c:dPt>
          <c:dLbls>
            <c:dLbl>
              <c:idx val="0"/>
              <c:dLblPos val="r"/>
              <c:showLegendKey val="0"/>
              <c:showVal val="0"/>
              <c:showCatName val="1"/>
              <c:showSerName val="0"/>
              <c:showPercent val="1"/>
              <c:separator> </c:separator>
            </c:dLbl>
            <c:dLbl>
              <c:idx val="1"/>
              <c:dLblPos val="r"/>
              <c:showLegendKey val="0"/>
              <c:showVal val="0"/>
              <c:showCatName val="1"/>
              <c:showSerName val="0"/>
              <c:showPercent val="1"/>
              <c:separator> </c:separator>
            </c:dLbl>
            <c:dLbl>
              <c:idx val="2"/>
              <c:dLblPos/>
              <c:showLegendKey val="0"/>
              <c:showVal val="0"/>
              <c:showCatName val="1"/>
              <c:showSerName val="0"/>
              <c:showPercent val="1"/>
              <c:separator> </c:separator>
            </c:dLbl>
            <c:dLbl>
              <c:idx val="3"/>
              <c:dLblPos/>
              <c:showLegendKey val="0"/>
              <c:showVal val="0"/>
              <c:showCatName val="1"/>
              <c:showSerName val="0"/>
              <c:showPercent val="1"/>
              <c:separator> </c:separator>
            </c:dLbl>
            <c:dLbl>
              <c:idx val="4"/>
              <c:dLblPos/>
              <c:showLegendKey val="0"/>
              <c:showVal val="0"/>
              <c:showCatName val="1"/>
              <c:showSerName val="0"/>
              <c:showPercent val="1"/>
              <c:separator> </c:separator>
            </c:dLbl>
            <c:dLbl>
              <c:idx val="5"/>
              <c:dLblPos/>
              <c:showLegendKey val="0"/>
              <c:showVal val="0"/>
              <c:showCatName val="1"/>
              <c:showSerName val="0"/>
              <c:showPercent val="1"/>
              <c:separator> </c:separator>
            </c:dLbl>
            <c:dLbl>
              <c:idx val="6"/>
              <c:dLblPos val="l"/>
              <c:showLegendKey val="0"/>
              <c:showVal val="0"/>
              <c:showCatName val="1"/>
              <c:showSerName val="0"/>
              <c:showPercent val="1"/>
              <c:separator> </c:separator>
            </c:dLbl>
            <c:dLbl>
              <c:idx val="7"/>
              <c:dLblPos val="l"/>
              <c:showLegendKey val="0"/>
              <c:showVal val="0"/>
              <c:showCatName val="1"/>
              <c:showSerName val="0"/>
              <c:showPercent val="1"/>
              <c:separator> </c:separator>
            </c:dLbl>
            <c:showLegendKey val="0"/>
            <c:showVal val="0"/>
            <c:showCatName val="1"/>
            <c:showSerName val="0"/>
            <c:showPercent val="1"/>
          </c:dLbls>
          <c:cat>
            <c:strRef>
              <c:f>categories</c:f>
              <c:strCache>
                <c:ptCount val="8"/>
                <c:pt idx="0">
                  <c:v>Hydraulique</c:v>
                </c:pt>
                <c:pt idx="1">
                  <c:v>Eolien</c:v>
                </c:pt>
                <c:pt idx="2">
                  <c:v>Photovoltaïque</c:v>
                </c:pt>
                <c:pt idx="3">
                  <c:v>Biomasse</c:v>
                </c:pt>
                <c:pt idx="4">
                  <c:v>Déchets</c:v>
                </c:pt>
                <c:pt idx="5">
                  <c:v>Solaire thermique</c:v>
                </c:pt>
                <c:pt idx="6">
                  <c:v>Géothermie</c:v>
                </c:pt>
                <c:pt idx="7">
                  <c:v>Biocarburants</c:v>
                </c:pt>
              </c:strCache>
            </c:strRef>
          </c:cat>
          <c:val>
            <c:numRef>
              <c:f>3</c:f>
              <c:numCache>
                <c:formatCode>General</c:formatCode>
                <c:ptCount val="8"/>
                <c:pt idx="0">
                  <c:v>0.0412040463853935</c:v>
                </c:pt>
                <c:pt idx="1">
                  <c:v>0.186035035775968</c:v>
                </c:pt>
                <c:pt idx="2">
                  <c:v>0.078213668887244</c:v>
                </c:pt>
                <c:pt idx="3">
                  <c:v>0.509005674808784</c:v>
                </c:pt>
                <c:pt idx="4">
                  <c:v>0.074019245003701</c:v>
                </c:pt>
                <c:pt idx="5">
                  <c:v>0.0192450037009623</c:v>
                </c:pt>
                <c:pt idx="6">
                  <c:v>0.0276338514680484</c:v>
                </c:pt>
                <c:pt idx="7">
                  <c:v>0.0646434739698988</c:v>
                </c:pt>
              </c:numCache>
            </c:numRef>
          </c:val>
        </c:ser>
        <c:firstSliceAng val="0"/>
      </c:pieChart>
      <c:spPr>
        <a:solidFill>
          <a:srgbClr val="ffffff"/>
        </a:solidFill>
        <a:ln>
          <a:noFill/>
        </a:ln>
      </c:spPr>
    </c:plotArea>
    <c:plotVisOnly val="1"/>
  </c:chart>
  <c:spPr>
    <a:noFill/>
    <a:ln>
      <a:noFill/>
    </a:ln>
  </c:spPr>
</c:chartSpace>
</file>

<file path=word/charts/chart6.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b="1">
                <a:solidFill>
                  <a:srgbClr val="000000"/>
                </a:solidFill>
                <a:latin typeface="Calibri"/>
              </a:rPr>
              <a:t>Energie utilisée finale </a:t>
            </a:r>
          </a:p>
        </c:rich>
      </c:tx>
      <c:layout/>
    </c:title>
    <c:plotArea>
      <c:layout/>
      <c:pieChart>
        <c:varyColors val="1"/>
        <c:ser>
          <c:idx val="0"/>
          <c:order val="0"/>
          <c:tx>
            <c:strRef>
              <c:f>label 0</c:f>
              <c:strCache>
                <c:ptCount val="1"/>
                <c:pt idx="0">
                  <c:v/>
                </c:pt>
              </c:strCache>
            </c:strRef>
          </c:tx>
          <c:spPr>
            <a:solidFill>
              <a:srgbClr val="4f81bd"/>
            </a:solidFill>
            <a:ln>
              <a:noFill/>
            </a:ln>
          </c:spPr>
          <c:explosion val="0"/>
          <c:dPt>
            <c:idx val="0"/>
            <c:spPr>
              <a:solidFill>
                <a:srgbClr val="4672a8"/>
              </a:solidFill>
              <a:ln>
                <a:noFill/>
              </a:ln>
            </c:spPr>
          </c:dPt>
          <c:dPt>
            <c:idx val="1"/>
            <c:spPr>
              <a:solidFill>
                <a:srgbClr val="ab4744"/>
              </a:solidFill>
              <a:ln>
                <a:noFill/>
              </a:ln>
            </c:spPr>
          </c:dPt>
          <c:dPt>
            <c:idx val="2"/>
            <c:spPr>
              <a:solidFill>
                <a:srgbClr val="8aa64f"/>
              </a:solidFill>
              <a:ln>
                <a:noFill/>
              </a:ln>
            </c:spPr>
          </c:dPt>
          <c:dPt>
            <c:idx val="3"/>
            <c:spPr>
              <a:solidFill>
                <a:srgbClr val="725990"/>
              </a:solidFill>
              <a:ln>
                <a:noFill/>
              </a:ln>
            </c:spPr>
          </c:dPt>
          <c:dPt>
            <c:idx val="4"/>
            <c:spPr>
              <a:solidFill>
                <a:srgbClr val="4299b0"/>
              </a:solidFill>
              <a:ln>
                <a:noFill/>
              </a:ln>
            </c:spPr>
          </c:dPt>
          <c:dPt>
            <c:idx val="5"/>
            <c:spPr>
              <a:solidFill>
                <a:srgbClr val="dc853e"/>
              </a:solidFill>
              <a:ln>
                <a:noFill/>
              </a:ln>
            </c:spPr>
          </c:dPt>
          <c:dPt>
            <c:idx val="6"/>
            <c:spPr>
              <a:solidFill>
                <a:srgbClr val="93a9ce"/>
              </a:solidFill>
              <a:ln>
                <a:noFill/>
              </a:ln>
            </c:spPr>
          </c:dPt>
          <c:dPt>
            <c:idx val="7"/>
            <c:spPr>
              <a:solidFill>
                <a:srgbClr val="d09493"/>
              </a:solidFill>
              <a:ln>
                <a:noFill/>
              </a:ln>
            </c:spPr>
          </c:dPt>
          <c:dLbls>
            <c:dLbl>
              <c:idx val="0"/>
              <c:dLblPos/>
              <c:showLegendKey val="0"/>
              <c:showVal val="0"/>
              <c:showCatName val="0"/>
              <c:showSerName val="0"/>
              <c:showPercent val="1"/>
              <c:separator>; </c:separator>
            </c:dLbl>
            <c:dLbl>
              <c:idx val="1"/>
              <c:dLblPos val="r"/>
              <c:showLegendKey val="0"/>
              <c:showVal val="0"/>
              <c:showCatName val="0"/>
              <c:showSerName val="0"/>
              <c:showPercent val="1"/>
              <c:separator>; </c:separator>
            </c:dLbl>
            <c:dLbl>
              <c:idx val="2"/>
              <c:dLblPos val="t"/>
              <c:showLegendKey val="0"/>
              <c:showVal val="0"/>
              <c:showCatName val="0"/>
              <c:showSerName val="0"/>
              <c:showPercent val="1"/>
              <c:separator>; </c:separator>
            </c:dLbl>
            <c:dLbl>
              <c:idx val="3"/>
              <c:dLblPos/>
              <c:showLegendKey val="0"/>
              <c:showVal val="0"/>
              <c:showCatName val="0"/>
              <c:showSerName val="0"/>
              <c:showPercent val="1"/>
              <c:separator>; </c:separator>
            </c:dLbl>
            <c:dLbl>
              <c:idx val="4"/>
              <c:dLblPos val="b"/>
              <c:showLegendKey val="0"/>
              <c:showVal val="0"/>
              <c:showCatName val="0"/>
              <c:showSerName val="0"/>
              <c:showPercent val="1"/>
              <c:separator>; </c:separator>
            </c:dLbl>
            <c:dLbl>
              <c:idx val="5"/>
              <c:dLblPos val="t"/>
              <c:showLegendKey val="0"/>
              <c:showVal val="0"/>
              <c:showCatName val="0"/>
              <c:showSerName val="0"/>
              <c:showPercent val="1"/>
              <c:separator>; </c:separator>
            </c:dLbl>
            <c:dLbl>
              <c:idx val="6"/>
              <c:dLblPos/>
              <c:showLegendKey val="0"/>
              <c:showVal val="0"/>
              <c:showCatName val="0"/>
              <c:showSerName val="0"/>
              <c:showPercent val="1"/>
              <c:separator>; </c:separator>
            </c:dLbl>
            <c:dLbl>
              <c:idx val="7"/>
              <c:dLblPos val="l"/>
              <c:showLegendKey val="0"/>
              <c:showVal val="0"/>
              <c:showCatName val="0"/>
              <c:showSerName val="0"/>
              <c:showPercent val="1"/>
              <c:separator>; </c:separator>
            </c:dLbl>
            <c:showLegendKey val="0"/>
            <c:showVal val="0"/>
            <c:showCatName val="0"/>
            <c:showSerName val="0"/>
            <c:showPercent val="1"/>
          </c:dLbls>
          <c:cat>
            <c:strRef>
              <c:f>categories</c:f>
              <c:strCache>
                <c:ptCount val="8"/>
                <c:pt idx="0">
                  <c:v>Charbon</c:v>
                </c:pt>
                <c:pt idx="1">
                  <c:v>Lignite</c:v>
                </c:pt>
                <c:pt idx="2">
                  <c:v>Pétrole</c:v>
                </c:pt>
                <c:pt idx="3">
                  <c:v>Gaz</c:v>
                </c:pt>
                <c:pt idx="4">
                  <c:v>ENR Thermique</c:v>
                </c:pt>
                <c:pt idx="5">
                  <c:v>Réseau chaleur</c:v>
                </c:pt>
                <c:pt idx="6">
                  <c:v>Electricité </c:v>
                </c:pt>
                <c:pt idx="7">
                  <c:v>Divers</c:v>
                </c:pt>
              </c:strCache>
            </c:strRef>
          </c:cat>
          <c:val>
            <c:numRef>
              <c:f>3</c:f>
              <c:numCache>
                <c:formatCode>General</c:formatCode>
                <c:ptCount val="8"/>
                <c:pt idx="0">
                  <c:v>0.0415581956737824</c:v>
                </c:pt>
                <c:pt idx="1">
                  <c:v>0.0094665593789937</c:v>
                </c:pt>
                <c:pt idx="2">
                  <c:v>0.373455767501302</c:v>
                </c:pt>
                <c:pt idx="3">
                  <c:v>0.240497941023335</c:v>
                </c:pt>
                <c:pt idx="4">
                  <c:v>0.0687272210914943</c:v>
                </c:pt>
                <c:pt idx="5">
                  <c:v>0.0465281393477541</c:v>
                </c:pt>
                <c:pt idx="6">
                  <c:v>0.21110427415156</c:v>
                </c:pt>
                <c:pt idx="7">
                  <c:v>0.00866190183177924</c:v>
                </c:pt>
              </c:numCache>
            </c:numRef>
          </c:val>
        </c:ser>
        <c:firstSliceAng val="0"/>
      </c:pieChart>
      <c:spPr>
        <a:solidFill>
          <a:srgbClr val="ffffff"/>
        </a:solidFill>
        <a:ln>
          <a:noFill/>
        </a:ln>
      </c:spPr>
    </c:plotArea>
    <c:plotVisOnly val="1"/>
  </c:chart>
  <c:spPr>
    <a:noFill/>
    <a:ln>
      <a:noFill/>
    </a:ln>
  </c:spPr>
</c:chartSpace>
</file>

<file path=word/charts/chart7.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b="1">
                <a:solidFill>
                  <a:srgbClr val="000000"/>
                </a:solidFill>
                <a:latin typeface="Calibri"/>
              </a:rPr>
              <a:t> Utilisations 
de l'énergie finale   </a:t>
            </a:r>
          </a:p>
        </c:rich>
      </c:tx>
      <c:layout/>
    </c:title>
    <c:plotArea>
      <c:layout/>
      <c:pieChart>
        <c:varyColors val="1"/>
        <c:ser>
          <c:idx val="0"/>
          <c:order val="0"/>
          <c:tx>
            <c:strRef>
              <c:f>label 0</c:f>
              <c:strCache>
                <c:ptCount val="1"/>
                <c:pt idx="0">
                  <c:v/>
                </c:pt>
              </c:strCache>
            </c:strRef>
          </c:tx>
          <c:spPr>
            <a:solidFill>
              <a:srgbClr val="4f81bd"/>
            </a:solidFill>
            <a:ln>
              <a:noFill/>
            </a:ln>
          </c:spPr>
          <c:explosion val="0"/>
          <c:dPt>
            <c:idx val="0"/>
            <c:spPr>
              <a:solidFill>
                <a:srgbClr val="4f81bd"/>
              </a:solidFill>
              <a:ln>
                <a:noFill/>
              </a:ln>
            </c:spPr>
          </c:dPt>
          <c:dPt>
            <c:idx val="1"/>
            <c:spPr>
              <a:solidFill>
                <a:srgbClr val="c0504d"/>
              </a:solidFill>
              <a:ln>
                <a:noFill/>
              </a:ln>
            </c:spPr>
          </c:dPt>
          <c:dPt>
            <c:idx val="2"/>
            <c:spPr>
              <a:solidFill>
                <a:srgbClr val="9bbb59"/>
              </a:solidFill>
              <a:ln>
                <a:noFill/>
              </a:ln>
            </c:spPr>
          </c:dPt>
          <c:dPt>
            <c:idx val="3"/>
            <c:spPr>
              <a:solidFill>
                <a:srgbClr val="8064a2"/>
              </a:solidFill>
              <a:ln>
                <a:noFill/>
              </a:ln>
            </c:spPr>
          </c:dPt>
          <c:dLbls>
            <c:dLbl>
              <c:idx val="0"/>
              <c:dLblPos/>
              <c:showLegendKey val="0"/>
              <c:showVal val="0"/>
              <c:showCatName val="1"/>
              <c:showSerName val="0"/>
              <c:showPercent val="1"/>
              <c:separator>; </c:separator>
            </c:dLbl>
            <c:dLbl>
              <c:idx val="1"/>
              <c:dLblPos/>
              <c:showLegendKey val="0"/>
              <c:showVal val="0"/>
              <c:showCatName val="1"/>
              <c:showSerName val="0"/>
              <c:showPercent val="1"/>
              <c:separator>; </c:separator>
            </c:dLbl>
            <c:dLbl>
              <c:idx val="2"/>
              <c:dLblPos val="b"/>
              <c:showLegendKey val="0"/>
              <c:showVal val="0"/>
              <c:showCatName val="1"/>
              <c:showSerName val="0"/>
              <c:showPercent val="1"/>
              <c:separator>; </c:separator>
            </c:dLbl>
            <c:dLbl>
              <c:idx val="3"/>
              <c:dLblPos/>
              <c:showLegendKey val="0"/>
              <c:showVal val="0"/>
              <c:showCatName val="1"/>
              <c:showSerName val="0"/>
              <c:showPercent val="1"/>
              <c:separator>; </c:separator>
            </c:dLbl>
            <c:showLegendKey val="0"/>
            <c:showVal val="0"/>
            <c:showCatName val="1"/>
            <c:showSerName val="0"/>
            <c:showPercent val="1"/>
          </c:dLbls>
          <c:cat>
            <c:strRef>
              <c:f>categories</c:f>
              <c:strCache>
                <c:ptCount val="4"/>
                <c:pt idx="0">
                  <c:v>Industrie</c:v>
                </c:pt>
                <c:pt idx="1">
                  <c:v>Transports</c:v>
                </c:pt>
                <c:pt idx="2">
                  <c:v>Résidentiel</c:v>
                </c:pt>
                <c:pt idx="3">
                  <c:v>Tertiaire</c:v>
                </c:pt>
              </c:strCache>
            </c:strRef>
          </c:cat>
          <c:val>
            <c:numRef>
              <c:f>3</c:f>
              <c:numCache>
                <c:formatCode>General</c:formatCode>
                <c:ptCount val="4"/>
                <c:pt idx="0">
                  <c:v>0.290197377763052</c:v>
                </c:pt>
                <c:pt idx="1">
                  <c:v>0.295025323046339</c:v>
                </c:pt>
                <c:pt idx="2">
                  <c:v>0.257869077483788</c:v>
                </c:pt>
                <c:pt idx="3">
                  <c:v>0.156908221706821</c:v>
                </c:pt>
              </c:numCache>
            </c:numRef>
          </c:val>
        </c:ser>
        <c:ser>
          <c:idx val="1"/>
          <c:order val="1"/>
          <c:tx>
            <c:strRef>
              <c:f>label 4</c:f>
              <c:strCache>
                <c:ptCount val="1"/>
                <c:pt idx="0">
                  <c:v>Industrie Transports Résidentiel Tertiaire</c:v>
                </c:pt>
              </c:strCache>
            </c:strRef>
          </c:tx>
          <c:spPr>
            <a:solidFill>
              <a:srgbClr val="c0504d"/>
            </a:solidFill>
            <a:ln>
              <a:noFill/>
            </a:ln>
          </c:spPr>
          <c:explosion val="0"/>
          <c:dPt>
            <c:idx val="0"/>
            <c:spPr>
              <a:solidFill>
                <a:srgbClr val="4f81bd"/>
              </a:solidFill>
              <a:ln>
                <a:noFill/>
              </a:ln>
            </c:spPr>
          </c:dPt>
          <c:dPt>
            <c:idx val="1"/>
            <c:spPr>
              <a:solidFill>
                <a:srgbClr val="c0504d"/>
              </a:solidFill>
              <a:ln>
                <a:noFill/>
              </a:ln>
            </c:spPr>
          </c:dPt>
          <c:dPt>
            <c:idx val="2"/>
            <c:spPr>
              <a:solidFill>
                <a:srgbClr val="9bbb59"/>
              </a:solidFill>
              <a:ln>
                <a:noFill/>
              </a:ln>
            </c:spPr>
          </c:dPt>
          <c:dPt>
            <c:idx val="3"/>
            <c:spPr>
              <a:solidFill>
                <a:srgbClr val="8064a2"/>
              </a:solidFill>
              <a:ln>
                <a:noFill/>
              </a:ln>
            </c:spPr>
          </c:dPt>
          <c:dLbls>
            <c:dLbl>
              <c:idx val="0"/>
              <c:dLblPos val="bestFit"/>
              <c:showLegendKey val="0"/>
              <c:showVal val="0"/>
              <c:showCatName val="1"/>
              <c:showSerName val="0"/>
              <c:showPercent val="1"/>
              <c:separator>; </c:separator>
            </c:dLbl>
            <c:dLbl>
              <c:idx val="1"/>
              <c:dLblPos val="bestFit"/>
              <c:showLegendKey val="0"/>
              <c:showVal val="0"/>
              <c:showCatName val="1"/>
              <c:showSerName val="0"/>
              <c:showPercent val="1"/>
              <c:separator>; </c:separator>
            </c:dLbl>
            <c:dLbl>
              <c:idx val="2"/>
              <c:dLblPos val="bestFit"/>
              <c:showLegendKey val="0"/>
              <c:showVal val="0"/>
              <c:showCatName val="1"/>
              <c:showSerName val="0"/>
              <c:showPercent val="1"/>
              <c:separator>; </c:separator>
            </c:dLbl>
            <c:dLbl>
              <c:idx val="3"/>
              <c:dLblPos val="bestFit"/>
              <c:showLegendKey val="0"/>
              <c:showVal val="0"/>
              <c:showCatName val="1"/>
              <c:showSerName val="0"/>
              <c:showPercent val="1"/>
              <c:separator>; </c:separator>
            </c:dLbl>
            <c:showLegendKey val="0"/>
            <c:showVal val="0"/>
            <c:showCatName val="1"/>
            <c:showSerName val="0"/>
            <c:showPercent val="1"/>
          </c:dLbls>
          <c:cat>
            <c:strRef>
              <c:f>categories</c:f>
              <c:strCache>
                <c:ptCount val="4"/>
                <c:pt idx="0">
                  <c:v>Industrie</c:v>
                </c:pt>
                <c:pt idx="1">
                  <c:v>Transports</c:v>
                </c:pt>
                <c:pt idx="2">
                  <c:v>Résidentiel</c:v>
                </c:pt>
                <c:pt idx="3">
                  <c:v>Tertiaire</c:v>
                </c:pt>
              </c:strCache>
            </c:strRef>
          </c:cat>
          <c:val>
            <c:numRef>
              <c:f>4</c:f>
              <c:numCache>
                <c:formatCode>General</c:formatCode>
                <c:ptCount val="4"/>
                <c:pt idx="0">
                  <c:v>1</c:v>
                </c:pt>
                <c:pt idx="1">
                  <c:v/>
                </c:pt>
                <c:pt idx="2">
                  <c:v/>
                </c:pt>
                <c:pt idx="3">
                  <c:v/>
                </c:pt>
              </c:numCache>
            </c:numRef>
          </c:val>
        </c:ser>
        <c:firstSliceAng val="0"/>
      </c:pieChart>
      <c:spPr>
        <a:solidFill>
          <a:srgbClr val="ffffff"/>
        </a:solidFill>
        <a:ln>
          <a:noFill/>
        </a:ln>
      </c:spPr>
    </c:plotArea>
    <c:plotVisOnly val="1"/>
  </c:chart>
  <c:spPr>
    <a:noFill/>
    <a:ln>
      <a:noFill/>
    </a:ln>
  </c:spPr>
</c:chartSpace>
</file>

<file path=word/charts/chart8.xml><?xml version="1.0" encoding="utf-8"?>
<c:chartSpace xmlns:c="http://schemas.openxmlformats.org/drawingml/2006/chart" xmlns:a="http://schemas.openxmlformats.org/drawingml/2006/main" xmlns:r="http://schemas.openxmlformats.org/officeDocument/2006/relationships">
  <c:lang val="en-US"/>
  <c:chart>
    <c:plotArea>
      <c:layout/>
      <c:pieChart>
        <c:varyColors val="1"/>
        <c:ser>
          <c:idx val="0"/>
          <c:order val="0"/>
          <c:tx>
            <c:strRef>
              <c:f>label 0</c:f>
              <c:strCache>
                <c:ptCount val="1"/>
                <c:pt idx="0">
                  <c:v/>
                </c:pt>
              </c:strCache>
            </c:strRef>
          </c:tx>
          <c:spPr>
            <a:solidFill>
              <a:srgbClr val="4f81bd"/>
            </a:solidFill>
            <a:ln>
              <a:noFill/>
            </a:ln>
          </c:spPr>
          <c:explosion val="0"/>
          <c:dPt>
            <c:idx val="0"/>
            <c:spPr>
              <a:solidFill>
                <a:srgbClr val="4672a8"/>
              </a:solidFill>
              <a:ln>
                <a:noFill/>
              </a:ln>
            </c:spPr>
          </c:dPt>
          <c:dPt>
            <c:idx val="1"/>
            <c:spPr>
              <a:solidFill>
                <a:srgbClr val="ab4744"/>
              </a:solidFill>
              <a:ln>
                <a:noFill/>
              </a:ln>
            </c:spPr>
          </c:dPt>
          <c:dPt>
            <c:idx val="2"/>
            <c:spPr>
              <a:solidFill>
                <a:srgbClr val="8aa64f"/>
              </a:solidFill>
              <a:ln>
                <a:noFill/>
              </a:ln>
            </c:spPr>
          </c:dPt>
          <c:dPt>
            <c:idx val="3"/>
            <c:spPr>
              <a:solidFill>
                <a:srgbClr val="725990"/>
              </a:solidFill>
              <a:ln>
                <a:noFill/>
              </a:ln>
            </c:spPr>
          </c:dPt>
          <c:dPt>
            <c:idx val="4"/>
            <c:spPr>
              <a:solidFill>
                <a:srgbClr val="4299b0"/>
              </a:solidFill>
              <a:ln>
                <a:noFill/>
              </a:ln>
            </c:spPr>
          </c:dPt>
          <c:dPt>
            <c:idx val="5"/>
            <c:spPr>
              <a:solidFill>
                <a:srgbClr val="dc853e"/>
              </a:solidFill>
              <a:ln>
                <a:noFill/>
              </a:ln>
            </c:spPr>
          </c:dPt>
          <c:dPt>
            <c:idx val="6"/>
            <c:spPr>
              <a:solidFill>
                <a:srgbClr val="93a9ce"/>
              </a:solidFill>
              <a:ln>
                <a:noFill/>
              </a:ln>
            </c:spPr>
          </c:dPt>
          <c:dPt>
            <c:idx val="7"/>
            <c:spPr>
              <a:solidFill>
                <a:srgbClr val="d09493"/>
              </a:solidFill>
              <a:ln>
                <a:noFill/>
              </a:ln>
            </c:spPr>
          </c:dPt>
          <c:dPt>
            <c:idx val="8"/>
            <c:spPr>
              <a:solidFill>
                <a:srgbClr val="b8cd97"/>
              </a:solidFill>
              <a:ln>
                <a:noFill/>
              </a:ln>
            </c:spPr>
          </c:dPt>
          <c:dPt>
            <c:idx val="9"/>
            <c:spPr>
              <a:solidFill>
                <a:srgbClr val="a99bbd"/>
              </a:solidFill>
              <a:ln>
                <a:noFill/>
              </a:ln>
            </c:spPr>
          </c:dPt>
          <c:dLbls>
            <c:dLbl>
              <c:idx val="0"/>
              <c:dLblPos val="bestFit"/>
              <c:showLegendKey val="0"/>
              <c:showVal val="0"/>
              <c:showCatName val="1"/>
              <c:showSerName val="0"/>
              <c:showPercent val="1"/>
              <c:separator>; </c:separator>
            </c:dLbl>
            <c:dLbl>
              <c:idx val="1"/>
              <c:dLblPos val="r"/>
              <c:showLegendKey val="0"/>
              <c:showVal val="0"/>
              <c:showCatName val="1"/>
              <c:showSerName val="0"/>
              <c:showPercent val="1"/>
              <c:separator>; </c:separator>
            </c:dLbl>
            <c:dLbl>
              <c:idx val="2"/>
              <c:dLblPos/>
              <c:showLegendKey val="0"/>
              <c:showVal val="0"/>
              <c:showCatName val="1"/>
              <c:showSerName val="0"/>
              <c:showPercent val="1"/>
              <c:separator>; </c:separator>
            </c:dLbl>
            <c:dLbl>
              <c:idx val="3"/>
              <c:dLblPos val="r"/>
              <c:showLegendKey val="0"/>
              <c:showVal val="0"/>
              <c:showCatName val="1"/>
              <c:showSerName val="0"/>
              <c:showPercent val="1"/>
              <c:separator>; </c:separator>
            </c:dLbl>
            <c:dLbl>
              <c:idx val="4"/>
              <c:dLblPos/>
              <c:showLegendKey val="0"/>
              <c:showVal val="0"/>
              <c:showCatName val="1"/>
              <c:showSerName val="0"/>
              <c:showPercent val="1"/>
              <c:separator>; </c:separator>
            </c:dLbl>
            <c:dLbl>
              <c:idx val="5"/>
              <c:dLblPos val="l"/>
              <c:showLegendKey val="0"/>
              <c:showVal val="0"/>
              <c:showCatName val="1"/>
              <c:showSerName val="0"/>
              <c:showPercent val="1"/>
              <c:separator>; </c:separator>
            </c:dLbl>
            <c:dLbl>
              <c:idx val="6"/>
              <c:dLblPos val="l"/>
              <c:showLegendKey val="0"/>
              <c:showVal val="0"/>
              <c:showCatName val="1"/>
              <c:showSerName val="0"/>
              <c:showPercent val="1"/>
              <c:separator>; </c:separator>
            </c:dLbl>
            <c:dLbl>
              <c:idx val="7"/>
              <c:dLblPos/>
              <c:showLegendKey val="0"/>
              <c:showVal val="0"/>
              <c:showCatName val="1"/>
              <c:showSerName val="0"/>
              <c:showPercent val="1"/>
              <c:separator>; </c:separator>
            </c:dLbl>
            <c:dLbl>
              <c:idx val="8"/>
              <c:dLblPos val="l"/>
              <c:showLegendKey val="0"/>
              <c:showVal val="0"/>
              <c:showCatName val="1"/>
              <c:showSerName val="0"/>
              <c:showPercent val="1"/>
              <c:separator>; </c:separator>
            </c:dLbl>
            <c:dLbl>
              <c:idx val="9"/>
              <c:dLblPos val="l"/>
              <c:showLegendKey val="0"/>
              <c:showVal val="0"/>
              <c:showCatName val="1"/>
              <c:showSerName val="0"/>
              <c:showPercent val="1"/>
              <c:separator>; </c:separator>
            </c:dLbl>
            <c:showLegendKey val="0"/>
            <c:showVal val="0"/>
            <c:showCatName val="1"/>
            <c:showSerName val="0"/>
            <c:showPercent val="1"/>
          </c:dLbls>
          <c:cat>
            <c:strRef>
              <c:f>categories</c:f>
              <c:strCache>
                <c:ptCount val="10"/>
                <c:pt idx="0">
                  <c:v>Nucléaire</c:v>
                </c:pt>
                <c:pt idx="1">
                  <c:v>Hydraulique</c:v>
                </c:pt>
                <c:pt idx="2">
                  <c:v>Fossiles</c:v>
                </c:pt>
                <c:pt idx="3">
                  <c:v>Gaz</c:v>
                </c:pt>
                <c:pt idx="4">
                  <c:v>Charbon + lignite</c:v>
                </c:pt>
                <c:pt idx="5">
                  <c:v>Pétrole</c:v>
                </c:pt>
                <c:pt idx="6">
                  <c:v>Eolien</c:v>
                </c:pt>
                <c:pt idx="7">
                  <c:v>Photovoltaïque</c:v>
                </c:pt>
                <c:pt idx="8">
                  <c:v>Thermique ENR + Déchets</c:v>
                </c:pt>
                <c:pt idx="9">
                  <c:v>Divers</c:v>
                </c:pt>
              </c:strCache>
            </c:strRef>
          </c:cat>
          <c:val>
            <c:numRef>
              <c:f>3</c:f>
              <c:numCache>
                <c:formatCode>General</c:formatCode>
                <c:ptCount val="10"/>
                <c:pt idx="0">
                  <c:v>0.0541132703607886</c:v>
                </c:pt>
                <c:pt idx="1">
                  <c:v>0.073897479092714</c:v>
                </c:pt>
                <c:pt idx="2">
                  <c:v>0.143092072278042</c:v>
                </c:pt>
                <c:pt idx="3">
                  <c:v>0.241827607644947</c:v>
                </c:pt>
                <c:pt idx="4">
                  <c:v>0.0212381926478551</c:v>
                </c:pt>
                <c:pt idx="5">
                  <c:v>0.208751980426368</c:v>
                </c:pt>
                <c:pt idx="6">
                  <c:v>0.194783707358161</c:v>
                </c:pt>
                <c:pt idx="7">
                  <c:v>0.045329202013517</c:v>
                </c:pt>
                <c:pt idx="8">
                  <c:v>0.0169664881776066</c:v>
                </c:pt>
                <c:pt idx="9">
                  <c:v/>
                </c:pt>
              </c:numCache>
            </c:numRef>
          </c:val>
        </c:ser>
        <c:firstSliceAng val="0"/>
      </c:pieChart>
      <c:spPr>
        <a:solidFill>
          <a:srgbClr val="ffffff"/>
        </a:solidFill>
        <a:ln>
          <a:noFill/>
        </a:ln>
      </c:spPr>
    </c:plotArea>
    <c:plotVisOnly val="1"/>
  </c:chart>
  <c:spPr>
    <a:noFill/>
    <a:ln>
      <a:noFill/>
    </a:ln>
  </c:spPr>
</c:chartSpace>
</file>

<file path=word/charts/chart9.xml><?xml version="1.0" encoding="utf-8"?>
<c:chartSpace xmlns:c="http://schemas.openxmlformats.org/drawingml/2006/chart" xmlns:a="http://schemas.openxmlformats.org/drawingml/2006/main" xmlns:r="http://schemas.openxmlformats.org/officeDocument/2006/relationships">
  <c:lang val="en-US"/>
  <c:chart>
    <c:plotArea>
      <c:layout/>
      <c:pieChart>
        <c:varyColors val="1"/>
        <c:ser>
          <c:idx val="0"/>
          <c:order val="0"/>
          <c:tx>
            <c:strRef>
              <c:f>label 3</c:f>
              <c:strCache>
                <c:ptCount val="1"/>
                <c:pt idx="0">
                  <c:v>Nucléaire Hydraulique Fossiles Gaz Charbon + lignite Pétrole Eolien Photovoltaïque Thermique ENR + Déchets Divers</c:v>
                </c:pt>
              </c:strCache>
            </c:strRef>
          </c:tx>
          <c:spPr>
            <a:solidFill>
              <a:srgbClr val="4f81bd"/>
            </a:solidFill>
            <a:ln>
              <a:noFill/>
            </a:ln>
          </c:spPr>
          <c:explosion val="0"/>
          <c:dPt>
            <c:idx val="0"/>
            <c:spPr>
              <a:solidFill>
                <a:srgbClr val="4672a8"/>
              </a:solidFill>
              <a:ln>
                <a:noFill/>
              </a:ln>
            </c:spPr>
          </c:dPt>
          <c:dPt>
            <c:idx val="1"/>
            <c:spPr>
              <a:solidFill>
                <a:srgbClr val="ab4744"/>
              </a:solidFill>
              <a:ln>
                <a:noFill/>
              </a:ln>
            </c:spPr>
          </c:dPt>
          <c:dPt>
            <c:idx val="2"/>
            <c:spPr>
              <a:solidFill>
                <a:srgbClr val="8aa64f"/>
              </a:solidFill>
              <a:ln>
                <a:noFill/>
              </a:ln>
            </c:spPr>
          </c:dPt>
          <c:dPt>
            <c:idx val="3"/>
            <c:spPr>
              <a:solidFill>
                <a:srgbClr val="725990"/>
              </a:solidFill>
              <a:ln>
                <a:noFill/>
              </a:ln>
            </c:spPr>
          </c:dPt>
          <c:dPt>
            <c:idx val="4"/>
            <c:spPr>
              <a:solidFill>
                <a:srgbClr val="4299b0"/>
              </a:solidFill>
              <a:ln>
                <a:noFill/>
              </a:ln>
            </c:spPr>
          </c:dPt>
          <c:dPt>
            <c:idx val="5"/>
            <c:spPr>
              <a:solidFill>
                <a:srgbClr val="dc853e"/>
              </a:solidFill>
              <a:ln>
                <a:noFill/>
              </a:ln>
            </c:spPr>
          </c:dPt>
          <c:dPt>
            <c:idx val="6"/>
            <c:spPr>
              <a:solidFill>
                <a:srgbClr val="93a9ce"/>
              </a:solidFill>
              <a:ln>
                <a:noFill/>
              </a:ln>
            </c:spPr>
          </c:dPt>
          <c:dPt>
            <c:idx val="7"/>
            <c:spPr>
              <a:solidFill>
                <a:srgbClr val="d09493"/>
              </a:solidFill>
              <a:ln>
                <a:noFill/>
              </a:ln>
            </c:spPr>
          </c:dPt>
          <c:dPt>
            <c:idx val="8"/>
            <c:spPr>
              <a:solidFill>
                <a:srgbClr val="b8cd97"/>
              </a:solidFill>
              <a:ln>
                <a:noFill/>
              </a:ln>
            </c:spPr>
          </c:dPt>
          <c:dPt>
            <c:idx val="9"/>
            <c:spPr>
              <a:solidFill>
                <a:srgbClr val="a99bbd"/>
              </a:solidFill>
              <a:ln>
                <a:noFill/>
              </a:ln>
            </c:spPr>
          </c:dPt>
          <c:dLbls>
            <c:dLbl>
              <c:idx val="0"/>
              <c:dLblPos val="r"/>
              <c:showLegendKey val="0"/>
              <c:showVal val="0"/>
              <c:showCatName val="1"/>
              <c:showSerName val="0"/>
              <c:showPercent val="1"/>
              <c:separator> </c:separator>
            </c:dLbl>
            <c:dLbl>
              <c:idx val="1"/>
              <c:dLblPos/>
              <c:showLegendKey val="0"/>
              <c:showVal val="0"/>
              <c:showCatName val="1"/>
              <c:showSerName val="0"/>
              <c:showPercent val="1"/>
              <c:separator> </c:separator>
            </c:dLbl>
            <c:dLbl>
              <c:idx val="2"/>
              <c:dLblPos val="bestFit"/>
              <c:showLegendKey val="0"/>
              <c:showVal val="0"/>
              <c:showCatName val="1"/>
              <c:showSerName val="0"/>
              <c:showPercent val="1"/>
              <c:separator> </c:separator>
            </c:dLbl>
            <c:dLbl>
              <c:idx val="3"/>
              <c:dLblPos val="r"/>
              <c:showLegendKey val="0"/>
              <c:showVal val="0"/>
              <c:showCatName val="1"/>
              <c:showSerName val="0"/>
              <c:showPercent val="1"/>
              <c:separator> </c:separator>
            </c:dLbl>
            <c:dLbl>
              <c:idx val="4"/>
              <c:dLblPos val="l"/>
              <c:showLegendKey val="0"/>
              <c:showVal val="0"/>
              <c:showCatName val="1"/>
              <c:showSerName val="0"/>
              <c:showPercent val="1"/>
              <c:separator> </c:separator>
            </c:dLbl>
            <c:dLbl>
              <c:idx val="5"/>
              <c:dLblPos/>
              <c:showLegendKey val="0"/>
              <c:showVal val="0"/>
              <c:showCatName val="1"/>
              <c:showSerName val="0"/>
              <c:showPercent val="1"/>
              <c:separator> </c:separator>
            </c:dLbl>
            <c:dLbl>
              <c:idx val="6"/>
              <c:dLblPos val="l"/>
              <c:showLegendKey val="0"/>
              <c:showVal val="0"/>
              <c:showCatName val="1"/>
              <c:showSerName val="0"/>
              <c:showPercent val="1"/>
              <c:separator> </c:separator>
            </c:dLbl>
            <c:dLbl>
              <c:idx val="7"/>
              <c:dLblPos/>
              <c:showLegendKey val="0"/>
              <c:showVal val="0"/>
              <c:showCatName val="1"/>
              <c:showSerName val="0"/>
              <c:showPercent val="1"/>
              <c:separator> </c:separator>
            </c:dLbl>
            <c:dLbl>
              <c:idx val="8"/>
              <c:dLblPos val="l"/>
              <c:showLegendKey val="0"/>
              <c:showVal val="0"/>
              <c:showCatName val="1"/>
              <c:showSerName val="0"/>
              <c:showPercent val="1"/>
              <c:separator> </c:separator>
            </c:dLbl>
            <c:dLbl>
              <c:idx val="9"/>
              <c:dLblPos val="r"/>
              <c:showLegendKey val="0"/>
              <c:showVal val="0"/>
              <c:showCatName val="1"/>
              <c:showSerName val="0"/>
              <c:showPercent val="1"/>
              <c:separator> </c:separator>
            </c:dLbl>
            <c:showLegendKey val="0"/>
            <c:showVal val="0"/>
            <c:showCatName val="1"/>
            <c:showSerName val="0"/>
            <c:showPercent val="1"/>
          </c:dLbls>
          <c:cat>
            <c:strRef>
              <c:f>categories</c:f>
              <c:strCache>
                <c:ptCount val="10"/>
                <c:pt idx="0">
                  <c:v>Nucléaire</c:v>
                </c:pt>
                <c:pt idx="1">
                  <c:v>Hydraulique</c:v>
                </c:pt>
                <c:pt idx="2">
                  <c:v>Fossiles</c:v>
                </c:pt>
                <c:pt idx="3">
                  <c:v>Gaz</c:v>
                </c:pt>
                <c:pt idx="4">
                  <c:v>Charbon + lignite</c:v>
                </c:pt>
                <c:pt idx="5">
                  <c:v>Pétrole</c:v>
                </c:pt>
                <c:pt idx="6">
                  <c:v>Eolien</c:v>
                </c:pt>
                <c:pt idx="7">
                  <c:v>Photovoltaïque</c:v>
                </c:pt>
                <c:pt idx="8">
                  <c:v>Thermique ENR + Déchets</c:v>
                </c:pt>
                <c:pt idx="9">
                  <c:v>Divers</c:v>
                </c:pt>
              </c:strCache>
            </c:strRef>
          </c:cat>
          <c:val>
            <c:numRef>
              <c:f>3</c:f>
              <c:numCache>
                <c:formatCode>General</c:formatCode>
                <c:ptCount val="10"/>
                <c:pt idx="0">
                  <c:v>0.148428405122235</c:v>
                </c:pt>
                <c:pt idx="1">
                  <c:v>0.0314318975552969</c:v>
                </c:pt>
                <c:pt idx="2">
                  <c:v>0.0963652826283792</c:v>
                </c:pt>
                <c:pt idx="3">
                  <c:v>0.441404734187039</c:v>
                </c:pt>
                <c:pt idx="4">
                  <c:v>0.00873108265424913</c:v>
                </c:pt>
                <c:pt idx="5">
                  <c:v>0.142332815935843</c:v>
                </c:pt>
                <c:pt idx="6">
                  <c:v>0.0619583495020049</c:v>
                </c:pt>
                <c:pt idx="7">
                  <c:v>0.0683611434484543</c:v>
                </c:pt>
                <c:pt idx="8">
                  <c:v>0.000986288966498512</c:v>
                </c:pt>
                <c:pt idx="9">
                  <c:v/>
                </c:pt>
              </c:numCache>
            </c:numRef>
          </c:val>
        </c:ser>
        <c:firstSliceAng val="0"/>
      </c:pieChart>
      <c:spPr>
        <a:solidFill>
          <a:srgbClr val="ffffff"/>
        </a:solidFill>
        <a:ln>
          <a:noFill/>
        </a:ln>
      </c:spPr>
    </c:plotArea>
    <c:plotVisOnly val="1"/>
  </c:chart>
  <c:spPr>
    <a:noFill/>
    <a:ln>
      <a:noFill/>
    </a:ln>
  </c:spPr>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84E12D6-1E51-4E86-B1C1-50BC2B624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2016-08-28T13:03:00Z</dcterms:created>
  <dc:creator>Jean Michel</dc:creator>
  <dc:language>fr-FR</dc:language>
  <cp:lastModifiedBy>Jean Michel</cp:lastModifiedBy>
  <cp:lastPrinted>2016-08-31T20:28:00Z</cp:lastPrinted>
  <dcterms:modified xsi:type="dcterms:W3CDTF">2016-08-31T20:28:00Z</dcterms:modified>
  <cp:revision>10</cp:revision>
</cp:coreProperties>
</file>